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F4" w:rsidRPr="00566E80" w:rsidRDefault="00B14FDA" w:rsidP="00465B33">
      <w:pPr>
        <w:pStyle w:val="Heading1"/>
        <w:rPr>
          <w:color w:val="auto"/>
          <w:sz w:val="32"/>
          <w:szCs w:val="32"/>
        </w:rPr>
      </w:pPr>
      <w:r>
        <w:rPr>
          <w:color w:val="auto"/>
          <w:sz w:val="32"/>
          <w:szCs w:val="32"/>
        </w:rPr>
        <w:t xml:space="preserve">Still </w:t>
      </w:r>
      <w:r w:rsidR="00D836E9">
        <w:rPr>
          <w:color w:val="auto"/>
          <w:sz w:val="32"/>
          <w:szCs w:val="32"/>
        </w:rPr>
        <w:t>searching for principles</w:t>
      </w:r>
      <w:r w:rsidR="00F73B9D" w:rsidRPr="00566E80">
        <w:rPr>
          <w:color w:val="auto"/>
          <w:sz w:val="32"/>
          <w:szCs w:val="32"/>
        </w:rPr>
        <w:t xml:space="preserve">: a response to </w:t>
      </w:r>
      <w:r w:rsidR="00202DB7" w:rsidRPr="00566E80">
        <w:rPr>
          <w:color w:val="auto"/>
          <w:sz w:val="32"/>
          <w:szCs w:val="32"/>
        </w:rPr>
        <w:t>Goodman et al.</w:t>
      </w:r>
    </w:p>
    <w:p w:rsidR="00202DB7" w:rsidRDefault="00202DB7" w:rsidP="00202DB7"/>
    <w:p w:rsidR="00566E80" w:rsidRDefault="00B14FDA" w:rsidP="00202DB7">
      <w:r>
        <w:t>We appreciate G</w:t>
      </w:r>
      <w:r w:rsidR="00F73B9D">
        <w:t xml:space="preserve">oodman et </w:t>
      </w:r>
      <w:proofErr w:type="spellStart"/>
      <w:r w:rsidR="00F73B9D">
        <w:t>al</w:t>
      </w:r>
      <w:r>
        <w:t>’s</w:t>
      </w:r>
      <w:proofErr w:type="spellEnd"/>
      <w:r>
        <w:t xml:space="preserve"> efforts to address concerns </w:t>
      </w:r>
      <w:r w:rsidR="002F097D">
        <w:t xml:space="preserve">raised </w:t>
      </w:r>
      <w:r>
        <w:t xml:space="preserve">in Marcus and Davis (2013), but </w:t>
      </w:r>
      <w:r w:rsidR="002F097D">
        <w:t xml:space="preserve">we </w:t>
      </w:r>
      <w:r w:rsidR="003B6247">
        <w:t>remain</w:t>
      </w:r>
      <w:r w:rsidR="002F097D">
        <w:t xml:space="preserve"> </w:t>
      </w:r>
      <w:r w:rsidR="003B6247">
        <w:t>un</w:t>
      </w:r>
      <w:r w:rsidR="002F097D">
        <w:t>convinced.</w:t>
      </w:r>
    </w:p>
    <w:p w:rsidR="00CA183D" w:rsidRDefault="00B81A3C" w:rsidP="00CA183D">
      <w:pPr>
        <w:pStyle w:val="Heading2"/>
      </w:pPr>
      <w:r>
        <w:t xml:space="preserve">Multiple </w:t>
      </w:r>
      <w:r w:rsidR="00DA1C1E">
        <w:t>models</w:t>
      </w:r>
    </w:p>
    <w:p w:rsidR="007E0E79" w:rsidRDefault="003054C8" w:rsidP="00940B2F">
      <w:r>
        <w:t>To refresh the reader’s memory, w</w:t>
      </w:r>
      <w:r w:rsidR="00B81A3C">
        <w:t>e argued</w:t>
      </w:r>
      <w:r w:rsidR="0040795D">
        <w:t xml:space="preserve"> that</w:t>
      </w:r>
      <w:r w:rsidR="00B81A3C">
        <w:t xml:space="preserve"> </w:t>
      </w:r>
      <w:r w:rsidR="0040795D">
        <w:t>multiple, equally plausible, Bayesian models could be constructe</w:t>
      </w:r>
      <w:r w:rsidR="00B81A3C">
        <w:t>d for the tasks under consideration</w:t>
      </w:r>
      <w:r w:rsidR="0040795D">
        <w:t xml:space="preserve">, and Bayesian theories </w:t>
      </w:r>
      <w:r w:rsidR="003F1FF5">
        <w:t xml:space="preserve">do not </w:t>
      </w:r>
      <w:r w:rsidR="0040795D">
        <w:t xml:space="preserve">constrain which model applies in any given case. </w:t>
      </w:r>
      <w:r w:rsidR="007E0E79">
        <w:t xml:space="preserve"> Without a prior theory on how </w:t>
      </w:r>
      <w:r w:rsidR="009356A6">
        <w:t xml:space="preserve">to </w:t>
      </w:r>
      <w:r w:rsidR="007E0E79">
        <w:t>choose proper</w:t>
      </w:r>
      <w:r w:rsidR="00B81A3C">
        <w:t xml:space="preserve"> models</w:t>
      </w:r>
      <w:r w:rsidR="007E0E79">
        <w:t xml:space="preserve">, </w:t>
      </w:r>
      <w:r>
        <w:t xml:space="preserve">we suggested, </w:t>
      </w:r>
      <w:r w:rsidR="007E0E79">
        <w:t xml:space="preserve">the research program </w:t>
      </w:r>
      <w:r w:rsidR="00D836E9">
        <w:t>risks</w:t>
      </w:r>
      <w:r w:rsidR="007E0E79">
        <w:t xml:space="preserve"> </w:t>
      </w:r>
      <w:r w:rsidR="00D836E9">
        <w:t>becoming</w:t>
      </w:r>
      <w:r w:rsidR="007E0E79">
        <w:t xml:space="preserve"> an exercise in post hoc modeling</w:t>
      </w:r>
      <w:r w:rsidR="00B81A3C">
        <w:t xml:space="preserve">. Additionally, </w:t>
      </w:r>
      <w:r>
        <w:t xml:space="preserve">we pointed out that </w:t>
      </w:r>
      <w:r w:rsidR="007E0E79">
        <w:t xml:space="preserve">the word “optimality” </w:t>
      </w:r>
      <w:r w:rsidR="00B81A3C">
        <w:t xml:space="preserve">is used </w:t>
      </w:r>
      <w:r w:rsidR="00994CD0">
        <w:t>with many different meetings (see below).</w:t>
      </w:r>
    </w:p>
    <w:p w:rsidR="00DA1C1E" w:rsidRDefault="00F12FBA" w:rsidP="00940B2F">
      <w:r>
        <w:t xml:space="preserve">The best rejoinder </w:t>
      </w:r>
      <w:r w:rsidR="00371358">
        <w:t xml:space="preserve">in </w:t>
      </w:r>
      <w:r w:rsidR="001C20B4">
        <w:t>Goodman et al</w:t>
      </w:r>
      <w:r w:rsidR="007E0E79">
        <w:t xml:space="preserve"> (this issue) is their </w:t>
      </w:r>
      <w:r w:rsidR="00DA1C1E">
        <w:t>correct assert</w:t>
      </w:r>
      <w:r>
        <w:t xml:space="preserve">ion that </w:t>
      </w:r>
      <w:r w:rsidR="007A2947">
        <w:t>in</w:t>
      </w:r>
      <w:r w:rsidR="007E0E79">
        <w:t xml:space="preserve"> a particular </w:t>
      </w:r>
      <w:r w:rsidR="00D836E9">
        <w:t>case</w:t>
      </w:r>
      <w:r w:rsidR="007E0E79">
        <w:t xml:space="preserve"> </w:t>
      </w:r>
      <w:r w:rsidR="00371358">
        <w:rPr>
          <w:rFonts w:ascii="Times New Roman" w:hAnsi="Times New Roman" w:cs="Times New Roman"/>
        </w:rPr>
        <w:t>—</w:t>
      </w:r>
      <w:r w:rsidR="00371358">
        <w:t xml:space="preserve"> </w:t>
      </w:r>
      <w:r w:rsidR="007A2947">
        <w:t>th</w:t>
      </w:r>
      <w:r w:rsidR="00D7407C">
        <w:t>eir “rational speech act</w:t>
      </w:r>
      <w:r w:rsidR="00371358">
        <w:t>” (RSA) theory of communication</w:t>
      </w:r>
      <w:proofErr w:type="gramStart"/>
      <w:r w:rsidR="00371358">
        <w:rPr>
          <w:rFonts w:ascii="Times New Roman" w:hAnsi="Times New Roman" w:cs="Times New Roman"/>
        </w:rPr>
        <w:t>—</w:t>
      </w:r>
      <w:r w:rsidR="00371358">
        <w:t xml:space="preserve"> </w:t>
      </w:r>
      <w:r w:rsidR="00D7407C">
        <w:t xml:space="preserve"> </w:t>
      </w:r>
      <w:r w:rsidR="007A2947">
        <w:t>the</w:t>
      </w:r>
      <w:r w:rsidR="007E0E79">
        <w:t>re</w:t>
      </w:r>
      <w:proofErr w:type="gramEnd"/>
      <w:r w:rsidR="007E0E79">
        <w:t xml:space="preserve"> has been more consistency than we acknowledged</w:t>
      </w:r>
      <w:r w:rsidR="00371358">
        <w:t xml:space="preserve">. Throughout their work in this </w:t>
      </w:r>
      <w:r w:rsidR="007E0E79">
        <w:t>domain, the</w:t>
      </w:r>
      <w:r w:rsidR="007A2947">
        <w:t xml:space="preserve"> authors </w:t>
      </w:r>
      <w:r w:rsidR="001C20B4">
        <w:t>have</w:t>
      </w:r>
      <w:r w:rsidR="007E0E79">
        <w:t>, to their considerable credit,</w:t>
      </w:r>
      <w:r w:rsidR="001C20B4">
        <w:t xml:space="preserve"> </w:t>
      </w:r>
      <w:r w:rsidR="004D3722" w:rsidRPr="004D3722">
        <w:rPr>
          <w:i/>
        </w:rPr>
        <w:t>consistently</w:t>
      </w:r>
      <w:r w:rsidR="001C20B4">
        <w:t xml:space="preserve"> used </w:t>
      </w:r>
      <w:r>
        <w:t xml:space="preserve">a particular choice rule that we suggested was arbitrary (viz. </w:t>
      </w:r>
      <w:r w:rsidR="001C20B4">
        <w:t>the “soft max” choice</w:t>
      </w:r>
      <w:r>
        <w:t>)</w:t>
      </w:r>
      <w:r w:rsidR="00B81A3C">
        <w:t>.</w:t>
      </w:r>
    </w:p>
    <w:p w:rsidR="0024736F" w:rsidRDefault="00F12FBA" w:rsidP="00940B2F">
      <w:r>
        <w:t xml:space="preserve"> But our larger point stands: </w:t>
      </w:r>
      <w:r w:rsidR="007E0E79">
        <w:t xml:space="preserve">looking </w:t>
      </w:r>
      <w:r w:rsidR="001C20B4">
        <w:t xml:space="preserve">beyond </w:t>
      </w:r>
      <w:r w:rsidR="00B43E04">
        <w:t xml:space="preserve">RSA, </w:t>
      </w:r>
      <w:r w:rsidR="001C20B4">
        <w:t>Bayesian models</w:t>
      </w:r>
      <w:r w:rsidR="007E0E79">
        <w:t xml:space="preserve"> in other domains</w:t>
      </w:r>
      <w:r w:rsidR="00D836E9">
        <w:t xml:space="preserve"> use </w:t>
      </w:r>
      <w:r w:rsidR="00B81A3C">
        <w:t xml:space="preserve">various </w:t>
      </w:r>
      <w:r w:rsidR="001C20B4">
        <w:t>choice rules</w:t>
      </w:r>
      <w:r w:rsidR="003B6247">
        <w:t>, and no general rule for their selection has been proposed</w:t>
      </w:r>
      <w:r w:rsidR="009356A6">
        <w:t>.</w:t>
      </w:r>
      <w:r w:rsidR="00D36581">
        <w:t xml:space="preserve"> </w:t>
      </w:r>
      <w:sdt>
        <w:sdtPr>
          <w:id w:val="3561287"/>
          <w:citation/>
        </w:sdtPr>
        <w:sdtContent>
          <w:r w:rsidR="00A27273">
            <w:fldChar w:fldCharType="begin"/>
          </w:r>
          <w:r w:rsidR="00211146">
            <w:instrText xml:space="preserve"> CITATION Bat13 \l 1033 </w:instrText>
          </w:r>
          <w:r w:rsidR="00A27273">
            <w:fldChar w:fldCharType="separate"/>
          </w:r>
          <w:r w:rsidR="00045607" w:rsidRPr="00045607">
            <w:rPr>
              <w:noProof/>
            </w:rPr>
            <w:t>(Battaglia, Hamrick, &amp; Tenenbaum, 2013)</w:t>
          </w:r>
          <w:r w:rsidR="00A27273">
            <w:rPr>
              <w:noProof/>
            </w:rPr>
            <w:fldChar w:fldCharType="end"/>
          </w:r>
        </w:sdtContent>
      </w:sdt>
      <w:proofErr w:type="gramStart"/>
      <w:r w:rsidR="007779AC">
        <w:t>,</w:t>
      </w:r>
      <w:r w:rsidR="00260145">
        <w:t xml:space="preserve"> </w:t>
      </w:r>
      <w:r w:rsidR="0074621D">
        <w:t xml:space="preserve"> </w:t>
      </w:r>
      <w:proofErr w:type="gramEnd"/>
      <w:sdt>
        <w:sdtPr>
          <w:id w:val="807875510"/>
          <w:citation/>
        </w:sdtPr>
        <w:sdtContent>
          <w:r w:rsidR="00A27273">
            <w:fldChar w:fldCharType="begin"/>
          </w:r>
          <w:r w:rsidR="000B7973">
            <w:instrText xml:space="preserve"> CITATION Kem08 \l 1033 </w:instrText>
          </w:r>
          <w:r w:rsidR="00A27273">
            <w:fldChar w:fldCharType="separate"/>
          </w:r>
          <w:r w:rsidR="00045607" w:rsidRPr="00045607">
            <w:rPr>
              <w:noProof/>
            </w:rPr>
            <w:t>(Kemp &amp; Tenenbaum, 2008)</w:t>
          </w:r>
          <w:r w:rsidR="00A27273">
            <w:fldChar w:fldCharType="end"/>
          </w:r>
        </w:sdtContent>
      </w:sdt>
      <w:r w:rsidR="000B7973">
        <w:t xml:space="preserve"> </w:t>
      </w:r>
      <w:r w:rsidR="007779AC">
        <w:t xml:space="preserve"> and </w:t>
      </w:r>
      <w:sdt>
        <w:sdtPr>
          <w:id w:val="1507514834"/>
          <w:citation/>
        </w:sdtPr>
        <w:sdtContent>
          <w:r w:rsidR="00A27273">
            <w:fldChar w:fldCharType="begin"/>
          </w:r>
          <w:r w:rsidR="007779AC">
            <w:instrText xml:space="preserve"> CITATION Cai12 \l 1033 </w:instrText>
          </w:r>
          <w:r w:rsidR="00A27273">
            <w:fldChar w:fldCharType="separate"/>
          </w:r>
          <w:r w:rsidR="00045607" w:rsidRPr="00045607">
            <w:rPr>
              <w:noProof/>
            </w:rPr>
            <w:t>(Cain, Vul, &amp; Mitroff, 2012)</w:t>
          </w:r>
          <w:r w:rsidR="00A27273">
            <w:fldChar w:fldCharType="end"/>
          </w:r>
        </w:sdtContent>
      </w:sdt>
      <w:r w:rsidR="007779AC">
        <w:t xml:space="preserve"> </w:t>
      </w:r>
      <w:r w:rsidR="00D36581">
        <w:t>use hard max</w:t>
      </w:r>
      <w:r w:rsidR="00940B2F">
        <w:t>;</w:t>
      </w:r>
      <w:sdt>
        <w:sdtPr>
          <w:id w:val="719553585"/>
          <w:citation/>
        </w:sdtPr>
        <w:sdtContent>
          <w:r w:rsidR="00A27273">
            <w:fldChar w:fldCharType="begin"/>
          </w:r>
          <w:r w:rsidR="00E97602">
            <w:instrText xml:space="preserve"> CITATION Gwe \l 1033  </w:instrText>
          </w:r>
          <w:r w:rsidR="00A27273">
            <w:fldChar w:fldCharType="separate"/>
          </w:r>
          <w:r w:rsidR="00045607">
            <w:rPr>
              <w:noProof/>
            </w:rPr>
            <w:t xml:space="preserve"> </w:t>
          </w:r>
          <w:r w:rsidR="00045607" w:rsidRPr="00045607">
            <w:rPr>
              <w:noProof/>
            </w:rPr>
            <w:t>(Gweon, Tenenbaum, &amp; Schulz, 2010)</w:t>
          </w:r>
          <w:r w:rsidR="00A27273">
            <w:fldChar w:fldCharType="end"/>
          </w:r>
        </w:sdtContent>
      </w:sdt>
      <w:r w:rsidR="00E97602">
        <w:t xml:space="preserve"> use probability matching; </w:t>
      </w:r>
      <w:r w:rsidR="00940B2F">
        <w:t xml:space="preserve"> </w:t>
      </w:r>
      <w:r w:rsidR="00A0367F">
        <w:rPr>
          <w:noProof/>
        </w:rPr>
        <w:t>(Griffiths &amp; Tenenbaum, 2006</w:t>
      </w:r>
      <w:r w:rsidR="00D36581">
        <w:rPr>
          <w:noProof/>
        </w:rPr>
        <w:t xml:space="preserve"> and 2011</w:t>
      </w:r>
      <w:r w:rsidR="00A0367F">
        <w:rPr>
          <w:noProof/>
        </w:rPr>
        <w:t>)</w:t>
      </w:r>
      <w:r w:rsidR="00D36581" w:rsidRPr="00D36581">
        <w:t xml:space="preserve"> </w:t>
      </w:r>
      <w:r w:rsidR="00D36581">
        <w:t>use</w:t>
      </w:r>
      <w:r w:rsidR="005E5C58">
        <w:t xml:space="preserve"> the</w:t>
      </w:r>
      <w:r w:rsidR="00D36581">
        <w:t xml:space="preserve"> median</w:t>
      </w:r>
      <w:r w:rsidR="0074621D">
        <w:t xml:space="preserve">. </w:t>
      </w:r>
      <w:sdt>
        <w:sdtPr>
          <w:id w:val="17765848"/>
          <w:citation/>
        </w:sdtPr>
        <w:sdtContent>
          <w:r w:rsidR="00A27273">
            <w:fldChar w:fldCharType="begin"/>
          </w:r>
          <w:r w:rsidR="0008682E">
            <w:instrText xml:space="preserve"> CITATION Smi132 \l 1033 </w:instrText>
          </w:r>
          <w:r w:rsidR="00A27273">
            <w:fldChar w:fldCharType="separate"/>
          </w:r>
          <w:r w:rsidR="00045607" w:rsidRPr="00045607">
            <w:rPr>
              <w:noProof/>
            </w:rPr>
            <w:t>(Smith &amp; Vul, 2013)</w:t>
          </w:r>
          <w:r w:rsidR="00A27273">
            <w:fldChar w:fldCharType="end"/>
          </w:r>
        </w:sdtContent>
      </w:sdt>
      <w:r w:rsidR="0008682E">
        <w:t xml:space="preserve"> use a hard max rule </w:t>
      </w:r>
      <w:r w:rsidR="00F72992">
        <w:t xml:space="preserve">for a task involving predicting a bouncing ball; for a </w:t>
      </w:r>
      <w:r w:rsidR="001D03C8">
        <w:t xml:space="preserve">very similar </w:t>
      </w:r>
      <w:r w:rsidR="0008682E">
        <w:t>task,</w:t>
      </w:r>
      <w:r w:rsidR="0008682E" w:rsidRPr="0008682E">
        <w:t xml:space="preserve"> </w:t>
      </w:r>
      <w:sdt>
        <w:sdtPr>
          <w:id w:val="17765847"/>
          <w:citation/>
        </w:sdtPr>
        <w:sdtContent>
          <w:r w:rsidR="00A27273">
            <w:fldChar w:fldCharType="begin"/>
          </w:r>
          <w:r w:rsidR="0008682E">
            <w:instrText xml:space="preserve"> CITATION Smi131 \l 1033  </w:instrText>
          </w:r>
          <w:r w:rsidR="00A27273">
            <w:fldChar w:fldCharType="separate"/>
          </w:r>
          <w:r w:rsidR="00045607" w:rsidRPr="00045607">
            <w:rPr>
              <w:noProof/>
            </w:rPr>
            <w:t>(Smith, Dechter, Tenenbaum, &amp; Vul, 2013)</w:t>
          </w:r>
          <w:r w:rsidR="00A27273">
            <w:fldChar w:fldCharType="end"/>
          </w:r>
        </w:sdtContent>
      </w:sdt>
      <w:r w:rsidR="0008682E">
        <w:t xml:space="preserve"> use two separate soft maxes, with four parameters tuned to fit the data. </w:t>
      </w:r>
      <w:r w:rsidR="002F097D">
        <w:t>Even in the rejoinder, we see no</w:t>
      </w:r>
      <w:r w:rsidR="0074621D">
        <w:t xml:space="preserve"> </w:t>
      </w:r>
      <w:r w:rsidR="00D97FC0" w:rsidRPr="003054C8">
        <w:rPr>
          <w:i/>
        </w:rPr>
        <w:t>principle</w:t>
      </w:r>
      <w:r w:rsidR="0074621D">
        <w:t xml:space="preserve"> for </w:t>
      </w:r>
      <w:r w:rsidR="005E5C58">
        <w:t xml:space="preserve">deciding </w:t>
      </w:r>
      <w:r w:rsidR="0074621D">
        <w:t>which rule applies in any given situation</w:t>
      </w:r>
      <w:r w:rsidR="002F097D">
        <w:t>.</w:t>
      </w:r>
      <w:r>
        <w:t xml:space="preserve"> </w:t>
      </w:r>
    </w:p>
    <w:p w:rsidR="00D36581" w:rsidRDefault="00D36581" w:rsidP="00940B2F">
      <w:r>
        <w:t xml:space="preserve">Moreover, though the choice rule in </w:t>
      </w:r>
      <w:r w:rsidR="00D7407C">
        <w:t xml:space="preserve">RSA </w:t>
      </w:r>
      <w:r>
        <w:t>is fixed, other aspects of the model remain fluid</w:t>
      </w:r>
      <w:r w:rsidR="009356A6">
        <w:t xml:space="preserve"> or arbitrary</w:t>
      </w:r>
      <w:r>
        <w:t xml:space="preserve">. </w:t>
      </w:r>
      <w:r w:rsidR="009356A6">
        <w:t xml:space="preserve">Frank and Goodman </w:t>
      </w:r>
      <w:sdt>
        <w:sdtPr>
          <w:id w:val="3942489"/>
          <w:citation/>
        </w:sdtPr>
        <w:sdtContent>
          <w:r w:rsidR="00A27273">
            <w:fldChar w:fldCharType="begin"/>
          </w:r>
          <w:r w:rsidR="009356A6">
            <w:instrText xml:space="preserve"> CITATION Fra12 \n  \t  \l 1033  </w:instrText>
          </w:r>
          <w:r w:rsidR="00A27273">
            <w:fldChar w:fldCharType="separate"/>
          </w:r>
          <w:r w:rsidR="00045607" w:rsidRPr="00045607">
            <w:rPr>
              <w:noProof/>
            </w:rPr>
            <w:t>(2012)</w:t>
          </w:r>
          <w:r w:rsidR="00A27273">
            <w:fldChar w:fldCharType="end"/>
          </w:r>
        </w:sdtContent>
      </w:sdt>
      <w:r w:rsidR="009356A6">
        <w:t xml:space="preserve"> assume without justification</w:t>
      </w:r>
      <w:r w:rsidR="003B6247">
        <w:t>, for example,</w:t>
      </w:r>
      <w:r w:rsidR="009356A6">
        <w:t xml:space="preserve"> that </w:t>
      </w:r>
      <w:r w:rsidR="007A2947">
        <w:t>the hearer know</w:t>
      </w:r>
      <w:r w:rsidR="009356A6">
        <w:t>s</w:t>
      </w:r>
      <w:r w:rsidR="007A2947">
        <w:t xml:space="preserve"> what </w:t>
      </w:r>
      <w:r w:rsidR="009356A6">
        <w:t xml:space="preserve">word </w:t>
      </w:r>
      <w:r w:rsidR="007A2947">
        <w:t xml:space="preserve">choices are available to the speaker; </w:t>
      </w:r>
      <w:r w:rsidR="005B5CBC">
        <w:t>th</w:t>
      </w:r>
      <w:r w:rsidR="009356A6">
        <w:t>is</w:t>
      </w:r>
      <w:r w:rsidR="005B5CBC">
        <w:t xml:space="preserve"> </w:t>
      </w:r>
      <w:r w:rsidR="003B6247">
        <w:t xml:space="preserve">hardly seems plausible, yet the issue </w:t>
      </w:r>
      <w:r w:rsidR="005B5CBC">
        <w:t>persist</w:t>
      </w:r>
      <w:r w:rsidR="009356A6">
        <w:t>s</w:t>
      </w:r>
      <w:r w:rsidR="005B5CBC">
        <w:t xml:space="preserve"> in</w:t>
      </w:r>
      <w:r w:rsidR="009356A6">
        <w:t xml:space="preserve"> </w:t>
      </w:r>
      <w:sdt>
        <w:sdtPr>
          <w:id w:val="9670680"/>
          <w:citation/>
        </w:sdtPr>
        <w:sdtContent>
          <w:r w:rsidR="00A27273">
            <w:fldChar w:fldCharType="begin"/>
          </w:r>
          <w:r w:rsidR="00211146">
            <w:instrText xml:space="preserve"> CITATION Kao14 \l 1033 </w:instrText>
          </w:r>
          <w:r w:rsidR="00A27273">
            <w:fldChar w:fldCharType="separate"/>
          </w:r>
          <w:r w:rsidR="00045607" w:rsidRPr="00045607">
            <w:rPr>
              <w:noProof/>
            </w:rPr>
            <w:t>(Kao, Wu, Bergen, &amp; Goodman, 2014)</w:t>
          </w:r>
          <w:r w:rsidR="00A27273">
            <w:rPr>
              <w:noProof/>
            </w:rPr>
            <w:fldChar w:fldCharType="end"/>
          </w:r>
        </w:sdtContent>
      </w:sdt>
      <w:r w:rsidR="00556851">
        <w:t>.</w:t>
      </w:r>
      <w:r w:rsidR="00B43E04">
        <w:t xml:space="preserve"> </w:t>
      </w:r>
    </w:p>
    <w:p w:rsidR="001D03C8" w:rsidRDefault="00260145" w:rsidP="0073240A">
      <w:r>
        <w:t>These</w:t>
      </w:r>
      <w:r w:rsidR="00D7407C">
        <w:t xml:space="preserve"> same</w:t>
      </w:r>
      <w:r>
        <w:t xml:space="preserve"> problems </w:t>
      </w:r>
      <w:r w:rsidR="00D836E9">
        <w:t>beset</w:t>
      </w:r>
      <w:r>
        <w:t xml:space="preserve"> </w:t>
      </w:r>
      <w:r w:rsidR="00D7407C">
        <w:t xml:space="preserve">other papers </w:t>
      </w:r>
      <w:r>
        <w:t xml:space="preserve">that we </w:t>
      </w:r>
      <w:r w:rsidR="00D7407C">
        <w:t>did not include</w:t>
      </w:r>
      <w:r>
        <w:t xml:space="preserve">. </w:t>
      </w:r>
      <w:r w:rsidR="00DA1C1E">
        <w:t xml:space="preserve"> </w:t>
      </w:r>
      <w:r>
        <w:t>F</w:t>
      </w:r>
      <w:r w:rsidR="00DA1C1E">
        <w:t>or example</w:t>
      </w:r>
      <w:r w:rsidR="001724A6">
        <w:t>,</w:t>
      </w:r>
      <w:r w:rsidR="00DA1C1E">
        <w:t xml:space="preserve"> </w:t>
      </w:r>
      <w:proofErr w:type="spellStart"/>
      <w:r w:rsidR="0040795D">
        <w:t>Gweon</w:t>
      </w:r>
      <w:proofErr w:type="spellEnd"/>
      <w:r w:rsidR="0040795D">
        <w:t xml:space="preserve">, </w:t>
      </w:r>
      <w:proofErr w:type="spellStart"/>
      <w:r w:rsidR="0040795D">
        <w:t>Tenenbaum</w:t>
      </w:r>
      <w:proofErr w:type="spellEnd"/>
      <w:r w:rsidR="0040795D">
        <w:t xml:space="preserve">, and </w:t>
      </w:r>
      <w:proofErr w:type="gramStart"/>
      <w:r w:rsidR="0040795D">
        <w:t>Schul</w:t>
      </w:r>
      <w:r w:rsidR="0073240A">
        <w:t>z</w:t>
      </w:r>
      <w:r w:rsidR="00DA1C1E">
        <w:t xml:space="preserve">’s </w:t>
      </w:r>
      <w:r w:rsidR="0040795D">
        <w:t xml:space="preserve"> </w:t>
      </w:r>
      <w:proofErr w:type="gramEnd"/>
      <w:sdt>
        <w:sdtPr>
          <w:id w:val="719553589"/>
          <w:citation/>
        </w:sdtPr>
        <w:sdtContent>
          <w:r w:rsidR="00A27273">
            <w:fldChar w:fldCharType="begin"/>
          </w:r>
          <w:r w:rsidR="003E07A7">
            <w:instrText xml:space="preserve"> CITATION Gwe \n  \t  \l 1033  </w:instrText>
          </w:r>
          <w:r w:rsidR="00A27273">
            <w:fldChar w:fldCharType="separate"/>
          </w:r>
          <w:r w:rsidR="00045607" w:rsidRPr="00045607">
            <w:rPr>
              <w:noProof/>
            </w:rPr>
            <w:t>(2010)</w:t>
          </w:r>
          <w:r w:rsidR="00A27273">
            <w:fldChar w:fldCharType="end"/>
          </w:r>
        </w:sdtContent>
      </w:sdt>
      <w:r>
        <w:t>“</w:t>
      </w:r>
      <w:r w:rsidR="0026774F">
        <w:t>squeaky toy” experiment purports to show that infant</w:t>
      </w:r>
      <w:r>
        <w:t>s</w:t>
      </w:r>
      <w:r w:rsidR="0026774F">
        <w:t xml:space="preserve"> </w:t>
      </w:r>
      <w:r w:rsidR="006B7EF6">
        <w:t xml:space="preserve">compute a posterior probability on hypotheses. </w:t>
      </w:r>
      <w:r w:rsidR="0026774F">
        <w:t xml:space="preserve"> </w:t>
      </w:r>
      <w:r w:rsidR="006B7EF6">
        <w:t>Their</w:t>
      </w:r>
      <w:r w:rsidR="0026774F">
        <w:t xml:space="preserve"> model posits that the babies choos</w:t>
      </w:r>
      <w:r w:rsidR="001724A6">
        <w:t>e</w:t>
      </w:r>
      <w:r w:rsidR="0026774F">
        <w:t xml:space="preserve"> between four different hypotheses.</w:t>
      </w:r>
      <w:r w:rsidR="00D836E9">
        <w:t xml:space="preserve"> But there was no principled</w:t>
      </w:r>
      <w:r w:rsidR="006B7EF6">
        <w:t xml:space="preserve"> justification</w:t>
      </w:r>
      <w:r w:rsidR="00D836E9">
        <w:t xml:space="preserve"> for that particular model.</w:t>
      </w:r>
      <w:r w:rsidR="0026774F">
        <w:t xml:space="preserve"> </w:t>
      </w:r>
      <w:r w:rsidR="00DA1C1E">
        <w:t>In a more recent analysis, we found</w:t>
      </w:r>
      <w:r w:rsidR="00AF75DE">
        <w:t xml:space="preserve"> </w:t>
      </w:r>
      <w:sdt>
        <w:sdtPr>
          <w:id w:val="807874964"/>
          <w:citation/>
        </w:sdtPr>
        <w:sdtContent>
          <w:r w:rsidR="00A27273">
            <w:fldChar w:fldCharType="begin"/>
          </w:r>
          <w:r w:rsidR="00556851">
            <w:instrText xml:space="preserve"> CITATION Dav14 \t  \l 1033  </w:instrText>
          </w:r>
          <w:r w:rsidR="00A27273">
            <w:fldChar w:fldCharType="separate"/>
          </w:r>
          <w:r w:rsidR="00045607" w:rsidRPr="00045607">
            <w:rPr>
              <w:noProof/>
            </w:rPr>
            <w:t>(Davis &amp; Marcus, 2014)</w:t>
          </w:r>
          <w:r w:rsidR="00A27273">
            <w:fldChar w:fldCharType="end"/>
          </w:r>
        </w:sdtContent>
      </w:sdt>
      <w:r w:rsidR="00556851">
        <w:t xml:space="preserve"> </w:t>
      </w:r>
      <w:r w:rsidR="00AC4597">
        <w:t xml:space="preserve">that there are </w:t>
      </w:r>
      <w:r w:rsidR="00AF75DE">
        <w:t xml:space="preserve">forty-three different hypotheses that the babies might consider, all about equally plausible </w:t>
      </w:r>
      <w:r w:rsidR="00D97FC0" w:rsidRPr="003054C8">
        <w:rPr>
          <w:i/>
        </w:rPr>
        <w:t>a priori,</w:t>
      </w:r>
      <w:r w:rsidR="005B5CBC">
        <w:t xml:space="preserve"> and over 7500 different Bayesian models</w:t>
      </w:r>
      <w:r w:rsidR="006B27A6">
        <w:t xml:space="preserve"> that a theorist might use</w:t>
      </w:r>
      <w:r w:rsidR="005B5CBC">
        <w:t xml:space="preserve">, all equally well motivated. </w:t>
      </w:r>
      <w:r w:rsidR="00AC6D30">
        <w:t xml:space="preserve"> </w:t>
      </w:r>
    </w:p>
    <w:p w:rsidR="00AC6D30" w:rsidRDefault="00AC6D30" w:rsidP="0073240A">
      <w:r>
        <w:t xml:space="preserve">Rips, </w:t>
      </w:r>
      <w:proofErr w:type="spellStart"/>
      <w:r>
        <w:t>Asmuth</w:t>
      </w:r>
      <w:proofErr w:type="spellEnd"/>
      <w:r>
        <w:t xml:space="preserve">, and </w:t>
      </w:r>
      <w:proofErr w:type="gramStart"/>
      <w:r>
        <w:t xml:space="preserve">Bloomfield  </w:t>
      </w:r>
      <w:proofErr w:type="gramEnd"/>
      <w:sdt>
        <w:sdtPr>
          <w:id w:val="-1034307273"/>
          <w:citation/>
        </w:sdtPr>
        <w:sdtContent>
          <w:r w:rsidR="00A27273">
            <w:fldChar w:fldCharType="begin"/>
          </w:r>
          <w:r>
            <w:instrText xml:space="preserve"> CITATION Rip13 \n  \t  \l 1033  </w:instrText>
          </w:r>
          <w:r w:rsidR="00A27273">
            <w:fldChar w:fldCharType="separate"/>
          </w:r>
          <w:r w:rsidR="00045607">
            <w:rPr>
              <w:noProof/>
            </w:rPr>
            <w:t>(2013)</w:t>
          </w:r>
          <w:r w:rsidR="00A27273">
            <w:fldChar w:fldCharType="end"/>
          </w:r>
        </w:sdtContent>
      </w:sdt>
      <w:r>
        <w:t xml:space="preserve"> point out the same flaw in the Bayesian theory of number learning proposed in </w:t>
      </w:r>
      <w:sdt>
        <w:sdtPr>
          <w:id w:val="-1034307272"/>
          <w:citation/>
        </w:sdtPr>
        <w:sdtContent>
          <w:r w:rsidR="00A27273">
            <w:fldChar w:fldCharType="begin"/>
          </w:r>
          <w:r w:rsidR="00045607">
            <w:instrText xml:space="preserve"> CITATION Pia12 \t  \l 1033  </w:instrText>
          </w:r>
          <w:r w:rsidR="00A27273">
            <w:fldChar w:fldCharType="separate"/>
          </w:r>
          <w:r w:rsidR="00045607">
            <w:rPr>
              <w:noProof/>
            </w:rPr>
            <w:t>(Piantadosi, Tenenbaum, &amp; Goodman, 2012)</w:t>
          </w:r>
          <w:r w:rsidR="00A27273">
            <w:fldChar w:fldCharType="end"/>
          </w:r>
        </w:sdtContent>
      </w:sdt>
      <w:r>
        <w:t xml:space="preserve">. The model relies on having a limited </w:t>
      </w:r>
      <w:r>
        <w:lastRenderedPageBreak/>
        <w:t>vocabulary of primitiv</w:t>
      </w:r>
      <w:r w:rsidR="006F760C">
        <w:t>e concepts under consideration, and i</w:t>
      </w:r>
      <w:r>
        <w:t xml:space="preserve">t is not explained how the child learner </w:t>
      </w:r>
      <w:r w:rsidR="006F760C">
        <w:t>would select the appropriate vocabulary.</w:t>
      </w:r>
    </w:p>
    <w:p w:rsidR="006D324D" w:rsidRDefault="00DA1C1E" w:rsidP="003B6247">
      <w:pPr>
        <w:pStyle w:val="Heading2"/>
      </w:pPr>
      <w:r>
        <w:t>Optimality</w:t>
      </w:r>
    </w:p>
    <w:p w:rsidR="008D3117" w:rsidRDefault="00994CD0" w:rsidP="00994CD0">
      <w:r>
        <w:t xml:space="preserve">In our original critique we noted that </w:t>
      </w:r>
      <w:r w:rsidR="00C32D03">
        <w:t>strong, unwarranted, claims for the optimality of</w:t>
      </w:r>
      <w:r w:rsidR="005D4C6E">
        <w:t xml:space="preserve"> performance</w:t>
      </w:r>
      <w:r w:rsidR="006973DA">
        <w:t xml:space="preserve"> are often made</w:t>
      </w:r>
      <w:r w:rsidR="00C32D03">
        <w:t xml:space="preserve">, and that the notion of optimality </w:t>
      </w:r>
      <w:r>
        <w:t>var</w:t>
      </w:r>
      <w:r w:rsidR="00C32D03">
        <w:t xml:space="preserve">ies </w:t>
      </w:r>
      <w:r w:rsidR="006B7EF6">
        <w:t xml:space="preserve">between </w:t>
      </w:r>
      <w:r w:rsidR="00C32D03">
        <w:t>paper</w:t>
      </w:r>
      <w:r w:rsidR="006B7EF6">
        <w:t>s</w:t>
      </w:r>
      <w:r w:rsidR="00C32D03">
        <w:t xml:space="preserve"> with no systematic criterion</w:t>
      </w:r>
      <w:r w:rsidR="008D3117">
        <w:t>.</w:t>
      </w:r>
      <w:r w:rsidR="00E347A5">
        <w:t xml:space="preserve"> We stand by these assertions.</w:t>
      </w:r>
    </w:p>
    <w:p w:rsidR="006973DA" w:rsidRDefault="00D97FC0" w:rsidP="00994CD0">
      <w:r w:rsidRPr="003054C8">
        <w:rPr>
          <w:b/>
        </w:rPr>
        <w:t>Strong claims:</w:t>
      </w:r>
      <w:r w:rsidR="00C32D03">
        <w:rPr>
          <w:b/>
        </w:rPr>
        <w:t xml:space="preserve"> </w:t>
      </w:r>
      <w:r w:rsidR="00C32D03">
        <w:t xml:space="preserve"> The word “optimal” or “optimize” is used in the titles </w:t>
      </w:r>
      <w:r w:rsidR="002B05DF">
        <w:t xml:space="preserve">of </w:t>
      </w:r>
      <w:r w:rsidR="00820C0C">
        <w:t xml:space="preserve">(Griffiths and </w:t>
      </w:r>
      <w:proofErr w:type="spellStart"/>
      <w:r w:rsidR="00820C0C">
        <w:t>Tenenbaum</w:t>
      </w:r>
      <w:proofErr w:type="spellEnd"/>
      <w:r w:rsidR="00820C0C">
        <w:t>, 2006;</w:t>
      </w:r>
      <w:r w:rsidR="00C32D03">
        <w:t xml:space="preserve"> </w:t>
      </w:r>
      <w:proofErr w:type="spellStart"/>
      <w:r w:rsidR="00820C0C">
        <w:t>Kording</w:t>
      </w:r>
      <w:proofErr w:type="spellEnd"/>
      <w:r w:rsidR="00820C0C">
        <w:t xml:space="preserve">, </w:t>
      </w:r>
      <w:proofErr w:type="spellStart"/>
      <w:r w:rsidR="00820C0C">
        <w:t>Tenenbaum</w:t>
      </w:r>
      <w:proofErr w:type="spellEnd"/>
      <w:r w:rsidR="00820C0C">
        <w:t xml:space="preserve">, &amp; </w:t>
      </w:r>
      <w:proofErr w:type="spellStart"/>
      <w:r w:rsidR="00820C0C">
        <w:t>Shadmehr</w:t>
      </w:r>
      <w:proofErr w:type="spellEnd"/>
      <w:r w:rsidR="00820C0C">
        <w:t>, 2007</w:t>
      </w:r>
      <w:proofErr w:type="gramStart"/>
      <w:r w:rsidR="00820C0C">
        <w:t>;  Cain</w:t>
      </w:r>
      <w:proofErr w:type="gramEnd"/>
      <w:r w:rsidR="00820C0C">
        <w:t xml:space="preserve">, </w:t>
      </w:r>
      <w:proofErr w:type="spellStart"/>
      <w:r w:rsidR="00820C0C">
        <w:t>Vul</w:t>
      </w:r>
      <w:proofErr w:type="spellEnd"/>
      <w:r w:rsidR="00820C0C">
        <w:t xml:space="preserve">, &amp; </w:t>
      </w:r>
      <w:proofErr w:type="spellStart"/>
      <w:r w:rsidR="00820C0C">
        <w:t>Mitroff</w:t>
      </w:r>
      <w:proofErr w:type="spellEnd"/>
      <w:r w:rsidR="00820C0C">
        <w:t xml:space="preserve">, 2012; </w:t>
      </w:r>
      <w:proofErr w:type="spellStart"/>
      <w:r w:rsidR="00820C0C">
        <w:t>Piantadosi</w:t>
      </w:r>
      <w:proofErr w:type="spellEnd"/>
      <w:r w:rsidR="00820C0C">
        <w:t xml:space="preserve">, </w:t>
      </w:r>
      <w:proofErr w:type="spellStart"/>
      <w:r w:rsidR="00820C0C">
        <w:t>Tiley</w:t>
      </w:r>
      <w:proofErr w:type="spellEnd"/>
      <w:r w:rsidR="00820C0C">
        <w:t>, &amp; Gibson, 2011)</w:t>
      </w:r>
      <w:r w:rsidR="00C32D03">
        <w:t xml:space="preserve"> and claims of optimality</w:t>
      </w:r>
      <w:r w:rsidR="007779AC">
        <w:t xml:space="preserve"> or near optimality</w:t>
      </w:r>
      <w:r w:rsidR="00C32D03">
        <w:t xml:space="preserve"> are made in </w:t>
      </w:r>
      <w:r w:rsidR="003C47A5" w:rsidRPr="003C47A5">
        <w:rPr>
          <w:noProof/>
        </w:rPr>
        <w:t>(Teglas</w:t>
      </w:r>
      <w:r w:rsidR="005966C8">
        <w:rPr>
          <w:noProof/>
        </w:rPr>
        <w:t xml:space="preserve"> et al., 2011</w:t>
      </w:r>
      <w:r w:rsidR="00820C0C">
        <w:rPr>
          <w:noProof/>
        </w:rPr>
        <w:t>;</w:t>
      </w:r>
      <w:r w:rsidR="00820C0C">
        <w:t xml:space="preserve"> Kao, Wu, Bergen, and Goodman, 2014) </w:t>
      </w:r>
      <w:r w:rsidR="00A27273">
        <w:fldChar w:fldCharType="begin"/>
      </w:r>
      <w:r w:rsidR="00C32D03">
        <w:instrText xml:space="preserve"> CITATION Kao14 \l 1033 </w:instrText>
      </w:r>
      <w:r w:rsidR="00A27273">
        <w:fldChar w:fldCharType="separate"/>
      </w:r>
      <w:r w:rsidR="00045607">
        <w:rPr>
          <w:noProof/>
        </w:rPr>
        <w:t xml:space="preserve"> </w:t>
      </w:r>
      <w:r w:rsidR="00045607" w:rsidRPr="00045607">
        <w:rPr>
          <w:noProof/>
        </w:rPr>
        <w:t>(Kao, Wu, Bergen, &amp; Goodman, 2014)</w:t>
      </w:r>
      <w:r w:rsidR="00A27273">
        <w:fldChar w:fldCharType="end"/>
      </w:r>
      <w:r w:rsidR="00045607">
        <w:t xml:space="preserve"> </w:t>
      </w:r>
      <w:r w:rsidR="00C32D03">
        <w:t xml:space="preserve">and many more. </w:t>
      </w:r>
      <w:proofErr w:type="spellStart"/>
      <w:r w:rsidR="00C32D03">
        <w:t>Oaksford</w:t>
      </w:r>
      <w:proofErr w:type="spellEnd"/>
      <w:r w:rsidR="00C32D03">
        <w:t xml:space="preserve"> and </w:t>
      </w:r>
      <w:proofErr w:type="spellStart"/>
      <w:r w:rsidR="00C32D03">
        <w:t>Chater</w:t>
      </w:r>
      <w:proofErr w:type="spellEnd"/>
      <w:r w:rsidR="00C32D03">
        <w:t xml:space="preserve"> </w:t>
      </w:r>
      <w:sdt>
        <w:sdtPr>
          <w:id w:val="3942199"/>
          <w:citation/>
        </w:sdtPr>
        <w:sdtContent>
          <w:r w:rsidR="00A27273">
            <w:fldChar w:fldCharType="begin"/>
          </w:r>
          <w:r w:rsidR="00C32D03">
            <w:instrText xml:space="preserve"> CITATION Oak09 \n  \t  \l 1033  </w:instrText>
          </w:r>
          <w:r w:rsidR="00A27273">
            <w:fldChar w:fldCharType="separate"/>
          </w:r>
          <w:r w:rsidR="00045607" w:rsidRPr="00045607">
            <w:rPr>
              <w:noProof/>
            </w:rPr>
            <w:t>(2009)</w:t>
          </w:r>
          <w:r w:rsidR="00A27273">
            <w:fldChar w:fldCharType="end"/>
          </w:r>
        </w:sdtContent>
      </w:sdt>
      <w:r w:rsidR="00C32D03">
        <w:t xml:space="preserve"> argue that, “Behavioral predictions [should be] derived </w:t>
      </w:r>
      <w:r w:rsidR="00C32D03">
        <w:rPr>
          <w:lang w:val="en-GB"/>
        </w:rPr>
        <w:t>from the assumption that the cognitive system is solving this problem, optimally (or, more plausibly, approximately), under ... constraints</w:t>
      </w:r>
      <w:r w:rsidR="00C32D03">
        <w:t xml:space="preserve">.” </w:t>
      </w:r>
      <w:r w:rsidR="00994CD0" w:rsidRPr="00994CD0">
        <w:t>Griffiths and Tenenbau</w:t>
      </w:r>
      <w:r w:rsidR="00994CD0">
        <w:t xml:space="preserve">m </w:t>
      </w:r>
      <w:sdt>
        <w:sdtPr>
          <w:id w:val="3942200"/>
          <w:citation/>
        </w:sdtPr>
        <w:sdtContent>
          <w:r w:rsidR="00A27273">
            <w:fldChar w:fldCharType="begin"/>
          </w:r>
          <w:r w:rsidR="006973DA">
            <w:instrText xml:space="preserve"> CITATION Gri06 \n  \t  \l 1033  </w:instrText>
          </w:r>
          <w:r w:rsidR="00A27273">
            <w:fldChar w:fldCharType="separate"/>
          </w:r>
          <w:r w:rsidR="00045607" w:rsidRPr="00045607">
            <w:rPr>
              <w:noProof/>
            </w:rPr>
            <w:t>(2006)</w:t>
          </w:r>
          <w:r w:rsidR="00A27273">
            <w:fldChar w:fldCharType="end"/>
          </w:r>
        </w:sdtContent>
      </w:sdt>
      <w:r w:rsidR="006973DA">
        <w:t xml:space="preserve"> </w:t>
      </w:r>
      <w:r w:rsidR="008D3117">
        <w:t xml:space="preserve">state </w:t>
      </w:r>
      <w:r w:rsidR="00994CD0">
        <w:t>that “everyday cog</w:t>
      </w:r>
      <w:r w:rsidR="00994CD0" w:rsidRPr="00994CD0">
        <w:t xml:space="preserve">nitive judgments follow . </w:t>
      </w:r>
      <w:r w:rsidR="00994CD0">
        <w:t>. . optimal statistical princi</w:t>
      </w:r>
      <w:r w:rsidR="00994CD0" w:rsidRPr="00994CD0">
        <w:t xml:space="preserve">ples” and </w:t>
      </w:r>
      <w:r w:rsidR="00DB3C43">
        <w:t xml:space="preserve">that </w:t>
      </w:r>
      <w:r w:rsidR="00994CD0" w:rsidRPr="00994CD0">
        <w:t>there is “close correspondence between</w:t>
      </w:r>
      <w:r w:rsidR="00994CD0">
        <w:t xml:space="preserve"> </w:t>
      </w:r>
      <w:r w:rsidR="00994CD0" w:rsidRPr="00994CD0">
        <w:t>people’s implicit probabilistic models and the statistics of the world</w:t>
      </w:r>
      <w:r w:rsidR="006973DA">
        <w:t>”</w:t>
      </w:r>
      <w:r w:rsidR="00F61DB4">
        <w:t xml:space="preserve">. </w:t>
      </w:r>
      <w:r w:rsidRPr="003054C8">
        <w:rPr>
          <w:rFonts w:cs="Arial"/>
        </w:rPr>
        <w:t xml:space="preserve">Sanborn, </w:t>
      </w:r>
      <w:proofErr w:type="spellStart"/>
      <w:r w:rsidRPr="003054C8">
        <w:rPr>
          <w:rFonts w:cs="Arial"/>
        </w:rPr>
        <w:t>Masinghka</w:t>
      </w:r>
      <w:proofErr w:type="spellEnd"/>
      <w:r w:rsidRPr="003054C8">
        <w:rPr>
          <w:rFonts w:cs="Arial"/>
        </w:rPr>
        <w:t xml:space="preserve">, and Griffiths (2013) propose that “people’s judgments [about physical events] are based on optimal statistical inference over a Newtonian physical model that incorporates sensory noise and intrinsic uncertainty about the physical properties of the objects being viewed.” </w:t>
      </w:r>
      <w:r w:rsidR="00364C70">
        <w:rPr>
          <w:rFonts w:cs="Arial"/>
        </w:rPr>
        <w:t xml:space="preserve">Frank’s (2013) more moderate view is the exception rather than the rule. </w:t>
      </w:r>
    </w:p>
    <w:p w:rsidR="00383752" w:rsidRDefault="00C05C1A">
      <w:proofErr w:type="gramStart"/>
      <w:r>
        <w:rPr>
          <w:b/>
        </w:rPr>
        <w:t>A</w:t>
      </w:r>
      <w:r w:rsidR="003054C8">
        <w:rPr>
          <w:b/>
        </w:rPr>
        <w:t>r</w:t>
      </w:r>
      <w:r>
        <w:rPr>
          <w:b/>
        </w:rPr>
        <w:t>bitrary</w:t>
      </w:r>
      <w:r w:rsidR="00D97FC0" w:rsidRPr="003054C8">
        <w:rPr>
          <w:b/>
        </w:rPr>
        <w:t xml:space="preserve"> criteri</w:t>
      </w:r>
      <w:r w:rsidR="008D3117">
        <w:rPr>
          <w:b/>
        </w:rPr>
        <w:t>a</w:t>
      </w:r>
      <w:r w:rsidR="00D97FC0" w:rsidRPr="003054C8">
        <w:rPr>
          <w:b/>
        </w:rPr>
        <w:t>.</w:t>
      </w:r>
      <w:proofErr w:type="gramEnd"/>
      <w:r w:rsidR="008D3117">
        <w:rPr>
          <w:b/>
        </w:rPr>
        <w:t xml:space="preserve"> </w:t>
      </w:r>
      <w:r w:rsidR="008D3117">
        <w:t>In our original paper, we demonstrated that</w:t>
      </w:r>
      <w:r w:rsidR="00DB3C43">
        <w:t xml:space="preserve"> the optimality claims in</w:t>
      </w:r>
      <w:r w:rsidR="008D3117">
        <w:t xml:space="preserve"> two of the experiments reported in </w:t>
      </w:r>
      <w:sdt>
        <w:sdtPr>
          <w:id w:val="3942213"/>
          <w:citation/>
        </w:sdtPr>
        <w:sdtContent>
          <w:r w:rsidR="00A27273">
            <w:fldChar w:fldCharType="begin"/>
          </w:r>
          <w:r w:rsidR="008D3117">
            <w:instrText xml:space="preserve"> CITATION Gri06 \l 1033 </w:instrText>
          </w:r>
          <w:r w:rsidR="00A27273">
            <w:fldChar w:fldCharType="separate"/>
          </w:r>
          <w:r w:rsidR="00045607" w:rsidRPr="00045607">
            <w:rPr>
              <w:noProof/>
            </w:rPr>
            <w:t>(Griffiths &amp; Tenenbaum, 2006)</w:t>
          </w:r>
          <w:r w:rsidR="00A27273">
            <w:fldChar w:fldCharType="end"/>
          </w:r>
        </w:sdtContent>
      </w:sdt>
      <w:r w:rsidR="008D3117">
        <w:t xml:space="preserve"> depended on arbitrary assumptions about what information in the problems the subjects are considering and which they are ignoring. </w:t>
      </w:r>
      <w:proofErr w:type="gramStart"/>
      <w:r w:rsidR="007F0532">
        <w:t>Similarly, the justifications</w:t>
      </w:r>
      <w:r w:rsidR="005D4C6E">
        <w:t xml:space="preserve"> in</w:t>
      </w:r>
      <w:r w:rsidR="007F0532">
        <w:t xml:space="preserve"> </w:t>
      </w:r>
      <w:sdt>
        <w:sdtPr>
          <w:id w:val="3942214"/>
          <w:citation/>
        </w:sdtPr>
        <w:sdtContent>
          <w:r w:rsidR="00A27273">
            <w:fldChar w:fldCharType="begin"/>
          </w:r>
          <w:r w:rsidR="007F0532">
            <w:instrText xml:space="preserve"> CITATION Oak09 \l 1033 </w:instrText>
          </w:r>
          <w:r w:rsidR="00A27273">
            <w:fldChar w:fldCharType="separate"/>
          </w:r>
          <w:r w:rsidR="00045607" w:rsidRPr="00045607">
            <w:rPr>
              <w:noProof/>
            </w:rPr>
            <w:t>(Oakford &amp; Chater, 2009)</w:t>
          </w:r>
          <w:r w:rsidR="00A27273">
            <w:fldChar w:fldCharType="end"/>
          </w:r>
        </w:sdtContent>
      </w:sdt>
      <w:r w:rsidR="007F0532">
        <w:t xml:space="preserve"> and in </w:t>
      </w:r>
      <w:sdt>
        <w:sdtPr>
          <w:id w:val="3942215"/>
          <w:citation/>
        </w:sdtPr>
        <w:sdtContent>
          <w:r w:rsidR="00A27273">
            <w:fldChar w:fldCharType="begin"/>
          </w:r>
          <w:r w:rsidR="007F0532">
            <w:instrText xml:space="preserve"> CITATION Ten01 \l 1033  </w:instrText>
          </w:r>
          <w:r w:rsidR="00A27273">
            <w:fldChar w:fldCharType="separate"/>
          </w:r>
          <w:r w:rsidR="00045607" w:rsidRPr="00045607">
            <w:rPr>
              <w:noProof/>
            </w:rPr>
            <w:t>(Tenenbaum &amp; Griffiths, 2001)</w:t>
          </w:r>
          <w:r w:rsidR="00A27273">
            <w:fldChar w:fldCharType="end"/>
          </w:r>
        </w:sdtContent>
      </w:sdt>
      <w:r w:rsidR="007F0532">
        <w:t xml:space="preserve"> for viewing subjects’ non-normative answers to questions as in fact optimal depends on arbitrary assumptions about how </w:t>
      </w:r>
      <w:r>
        <w:t xml:space="preserve">the </w:t>
      </w:r>
      <w:r w:rsidR="007F0532">
        <w:t>subjects</w:t>
      </w:r>
      <w:r>
        <w:t>’ interpretations differ from the experimenters.</w:t>
      </w:r>
      <w:proofErr w:type="gramEnd"/>
      <w:r w:rsidR="007F0532">
        <w:t xml:space="preserve"> </w:t>
      </w:r>
      <w:r w:rsidR="00DB3C43">
        <w:t>In t</w:t>
      </w:r>
      <w:r>
        <w:t xml:space="preserve">he title of </w:t>
      </w:r>
      <w:sdt>
        <w:sdtPr>
          <w:id w:val="3942216"/>
          <w:citation/>
        </w:sdtPr>
        <w:sdtContent>
          <w:r w:rsidR="00A27273">
            <w:fldChar w:fldCharType="begin"/>
          </w:r>
          <w:r>
            <w:instrText xml:space="preserve"> CITATION Pia11 \l 1033 </w:instrText>
          </w:r>
          <w:r w:rsidR="00A27273">
            <w:fldChar w:fldCharType="separate"/>
          </w:r>
          <w:r w:rsidR="00045607" w:rsidRPr="00045607">
            <w:rPr>
              <w:noProof/>
            </w:rPr>
            <w:t>(Piantadosi, Tiley, &amp; Gibson, Word lengths are optimized for efficient communication, 2011)</w:t>
          </w:r>
          <w:r w:rsidR="00A27273">
            <w:fldChar w:fldCharType="end"/>
          </w:r>
        </w:sdtContent>
      </w:sdt>
      <w:r w:rsidR="00DB3C43">
        <w:t xml:space="preserve">, </w:t>
      </w:r>
      <w:r>
        <w:t>“Word length is optimized for efficient communication</w:t>
      </w:r>
      <w:r w:rsidR="00DB3C43">
        <w:t>,</w:t>
      </w:r>
      <w:r>
        <w:t>” the word “optimized” mean</w:t>
      </w:r>
      <w:r w:rsidR="00DB3C43">
        <w:t>s</w:t>
      </w:r>
      <w:r>
        <w:t xml:space="preserve"> little more than “pretty good”</w:t>
      </w:r>
      <w:r w:rsidR="0008682E">
        <w:t xml:space="preserve">. </w:t>
      </w:r>
      <w:r>
        <w:rPr>
          <w:i/>
        </w:rPr>
        <w:t xml:space="preserve"> </w:t>
      </w:r>
      <w:r>
        <w:t>The varying choice rules discussed above are each “optimal” in a different sense.</w:t>
      </w:r>
    </w:p>
    <w:p w:rsidR="003054C8" w:rsidRDefault="00994CD0">
      <w:pPr>
        <w:rPr>
          <w:rFonts w:eastAsia="Times New Roman" w:cstheme="minorHAnsi"/>
        </w:rPr>
      </w:pPr>
      <w:r>
        <w:t xml:space="preserve"> </w:t>
      </w:r>
      <w:r w:rsidR="005D4C6E">
        <w:t>I</w:t>
      </w:r>
      <w:r>
        <w:t>f each paper means something different by optimal, the</w:t>
      </w:r>
      <w:r w:rsidR="005D4C6E">
        <w:t xml:space="preserve"> overall claim become</w:t>
      </w:r>
      <w:r w:rsidR="00DB3C43">
        <w:t>s</w:t>
      </w:r>
      <w:r w:rsidR="005D4C6E">
        <w:t xml:space="preserve"> nearly meaningless. </w:t>
      </w:r>
      <w:r w:rsidR="008D3117">
        <w:t xml:space="preserve">The </w:t>
      </w:r>
      <w:r w:rsidR="00C05C1A">
        <w:t xml:space="preserve">cleverly-worded </w:t>
      </w:r>
      <w:r w:rsidR="008D3117">
        <w:t>reply in Goodman et al.</w:t>
      </w:r>
      <w:r w:rsidR="002F097D">
        <w:t>,</w:t>
      </w:r>
      <w:r w:rsidR="008D3117">
        <w:t xml:space="preserve"> “</w:t>
      </w:r>
      <w:r w:rsidR="008D3117" w:rsidRPr="00C32D03">
        <w:rPr>
          <w:i/>
        </w:rPr>
        <w:t>an</w:t>
      </w:r>
      <w:r w:rsidR="008D3117">
        <w:t xml:space="preserve"> optimal analysis is not </w:t>
      </w:r>
      <w:r w:rsidR="008D3117" w:rsidRPr="00C32D03">
        <w:rPr>
          <w:i/>
        </w:rPr>
        <w:t>the</w:t>
      </w:r>
      <w:r w:rsidR="008D3117">
        <w:t xml:space="preserve"> optimal analysis” </w:t>
      </w:r>
      <w:r w:rsidR="0008682E">
        <w:t>merely side</w:t>
      </w:r>
      <w:r w:rsidR="002F097D">
        <w:t xml:space="preserve">steps </w:t>
      </w:r>
      <w:r w:rsidR="008D3117">
        <w:t xml:space="preserve">the problem. </w:t>
      </w:r>
      <w:bookmarkStart w:id="0" w:name="OLE_LINK13"/>
      <w:bookmarkStart w:id="1" w:name="OLE_LINK14"/>
      <w:r w:rsidR="00ED4127">
        <w:t xml:space="preserve"> </w:t>
      </w:r>
      <w:r w:rsidR="00D97FC0" w:rsidRPr="003054C8">
        <w:rPr>
          <w:rFonts w:eastAsia="Times New Roman" w:cstheme="minorHAnsi"/>
        </w:rPr>
        <w:t xml:space="preserve"> </w:t>
      </w:r>
    </w:p>
    <w:p w:rsidR="003054C8" w:rsidRDefault="003054C8" w:rsidP="003054C8">
      <w:pPr>
        <w:pStyle w:val="Heading2"/>
      </w:pPr>
      <w:r>
        <w:t>L</w:t>
      </w:r>
      <w:r w:rsidRPr="00CA183D">
        <w:t>iterature</w:t>
      </w:r>
      <w:r w:rsidRPr="00566E80">
        <w:t xml:space="preserve"> </w:t>
      </w:r>
    </w:p>
    <w:p w:rsidR="003054C8" w:rsidRDefault="003054C8" w:rsidP="003054C8">
      <w:r>
        <w:t>What’s left? Goodman et al note that we didn’t cite, well, everything, including a variety of papers that hasn’t come out before our critique went to press. True enough, but we were hardly lax. We cited 12 papers by the authors of Goodman et al (compared to just one by ourselves),  exceeding the maximum allowable number of references by four in order to squeeze as many as we did</w:t>
      </w:r>
      <w:r w:rsidDel="005D4C6E">
        <w:t xml:space="preserve"> </w:t>
      </w:r>
      <w:r w:rsidR="00AB0B27">
        <w:t>.</w:t>
      </w:r>
      <w:r>
        <w:t>More importantly, the additional papers that Goodman et al. mention hardly refute our argument.</w:t>
      </w:r>
      <w:r w:rsidR="003B6247">
        <w:t xml:space="preserve"> (Goodman et al.  </w:t>
      </w:r>
      <w:proofErr w:type="gramStart"/>
      <w:r w:rsidR="003B6247">
        <w:t>also</w:t>
      </w:r>
      <w:proofErr w:type="gramEnd"/>
      <w:r w:rsidR="003B6247">
        <w:t xml:space="preserve"> chide us for focusing on work that was not “mature”; but in fact we focused primarily on articles in prestigious outlets like </w:t>
      </w:r>
      <w:r w:rsidR="003B6247" w:rsidRPr="00923D10">
        <w:rPr>
          <w:i/>
        </w:rPr>
        <w:t>Science</w:t>
      </w:r>
      <w:r w:rsidR="003B6247">
        <w:t xml:space="preserve"> </w:t>
      </w:r>
      <w:sdt>
        <w:sdtPr>
          <w:id w:val="-2107172924"/>
          <w:citation/>
        </w:sdtPr>
        <w:sdtContent>
          <w:r w:rsidR="00A27273">
            <w:fldChar w:fldCharType="begin"/>
          </w:r>
          <w:r w:rsidR="003B6247">
            <w:instrText xml:space="preserve"> CITATION Fra12 \t  \l 1033  </w:instrText>
          </w:r>
          <w:r w:rsidR="00A27273">
            <w:fldChar w:fldCharType="separate"/>
          </w:r>
          <w:r w:rsidR="00045607" w:rsidRPr="00045607">
            <w:rPr>
              <w:noProof/>
            </w:rPr>
            <w:t>(Frank &amp; Goodman, 2012)</w:t>
          </w:r>
          <w:r w:rsidR="00A27273">
            <w:rPr>
              <w:noProof/>
            </w:rPr>
            <w:fldChar w:fldCharType="end"/>
          </w:r>
        </w:sdtContent>
      </w:sdt>
      <w:r w:rsidR="003B6247">
        <w:t xml:space="preserve">, </w:t>
      </w:r>
      <w:r w:rsidR="003B6247" w:rsidRPr="00923D10">
        <w:rPr>
          <w:i/>
        </w:rPr>
        <w:t>PNAS</w:t>
      </w:r>
      <w:r w:rsidR="003B6247">
        <w:t xml:space="preserve"> </w:t>
      </w:r>
      <w:sdt>
        <w:sdtPr>
          <w:id w:val="-128325674"/>
          <w:citation/>
        </w:sdtPr>
        <w:sdtContent>
          <w:r w:rsidR="00A27273">
            <w:fldChar w:fldCharType="begin"/>
          </w:r>
          <w:r w:rsidR="003B6247">
            <w:instrText xml:space="preserve"> CITATION Bat13 \l 1033 </w:instrText>
          </w:r>
          <w:r w:rsidR="00A27273">
            <w:fldChar w:fldCharType="separate"/>
          </w:r>
          <w:r w:rsidR="00045607" w:rsidRPr="00045607">
            <w:rPr>
              <w:noProof/>
            </w:rPr>
            <w:t>(Battaglia, Hamrick, &amp; Tenenbaum, 2013)</w:t>
          </w:r>
          <w:r w:rsidR="00A27273">
            <w:rPr>
              <w:noProof/>
            </w:rPr>
            <w:fldChar w:fldCharType="end"/>
          </w:r>
        </w:sdtContent>
      </w:sdt>
      <w:r w:rsidR="003B6247" w:rsidRPr="005430F8">
        <w:rPr>
          <w:i/>
        </w:rPr>
        <w:t xml:space="preserve"> </w:t>
      </w:r>
      <w:r w:rsidR="003B6247">
        <w:rPr>
          <w:i/>
        </w:rPr>
        <w:t xml:space="preserve"> </w:t>
      </w:r>
      <w:r w:rsidR="003B6247" w:rsidRPr="004024A1">
        <w:t>and</w:t>
      </w:r>
      <w:r w:rsidR="003B6247">
        <w:rPr>
          <w:i/>
        </w:rPr>
        <w:t xml:space="preserve"> </w:t>
      </w:r>
      <w:r w:rsidR="003B6247">
        <w:rPr>
          <w:i/>
        </w:rPr>
        <w:lastRenderedPageBreak/>
        <w:t>Psychological S</w:t>
      </w:r>
      <w:r w:rsidR="003B6247" w:rsidRPr="00F33EC5">
        <w:rPr>
          <w:i/>
        </w:rPr>
        <w:t>cience</w:t>
      </w:r>
      <w:r w:rsidR="003B6247">
        <w:t xml:space="preserve">  </w:t>
      </w:r>
      <w:sdt>
        <w:sdtPr>
          <w:id w:val="1573011811"/>
          <w:citation/>
        </w:sdtPr>
        <w:sdtContent>
          <w:r w:rsidR="00A27273">
            <w:fldChar w:fldCharType="begin"/>
          </w:r>
          <w:r w:rsidR="003B6247">
            <w:instrText xml:space="preserve"> CITATION Gri06 \t  \l 1033  </w:instrText>
          </w:r>
          <w:r w:rsidR="00A27273">
            <w:fldChar w:fldCharType="separate"/>
          </w:r>
          <w:r w:rsidR="00045607" w:rsidRPr="00045607">
            <w:rPr>
              <w:noProof/>
            </w:rPr>
            <w:t>(Griffiths &amp; Tenenbaum, 2006)</w:t>
          </w:r>
          <w:r w:rsidR="00A27273">
            <w:rPr>
              <w:noProof/>
            </w:rPr>
            <w:fldChar w:fldCharType="end"/>
          </w:r>
        </w:sdtContent>
      </w:sdt>
      <w:r w:rsidR="003B6247">
        <w:t>.</w:t>
      </w:r>
      <w:r w:rsidR="00E347A5">
        <w:t xml:space="preserve"> </w:t>
      </w:r>
      <w:r w:rsidR="00AB0B27">
        <w:t xml:space="preserve">Since </w:t>
      </w:r>
      <w:r w:rsidR="00E347A5">
        <w:t xml:space="preserve">both Griffiths and </w:t>
      </w:r>
      <w:proofErr w:type="spellStart"/>
      <w:r w:rsidR="00E347A5">
        <w:t>Tenenbaum</w:t>
      </w:r>
      <w:proofErr w:type="spellEnd"/>
      <w:r w:rsidR="00E347A5">
        <w:t xml:space="preserve"> list that highly-cited paper as among their key publications, it hardly seems unfair to focus attention on it.</w:t>
      </w:r>
      <w:r w:rsidR="003B6247">
        <w:t>)</w:t>
      </w:r>
    </w:p>
    <w:p w:rsidR="00383752" w:rsidRDefault="00383752">
      <w:pPr>
        <w:rPr>
          <w:rFonts w:eastAsia="Times New Roman" w:cstheme="minorHAnsi"/>
        </w:rPr>
      </w:pPr>
    </w:p>
    <w:bookmarkEnd w:id="0"/>
    <w:bookmarkEnd w:id="1"/>
    <w:p w:rsidR="006D324D" w:rsidRDefault="000C1EBC" w:rsidP="003B6247">
      <w:pPr>
        <w:pStyle w:val="Heading2"/>
      </w:pPr>
      <w:r>
        <w:t>Conclusion</w:t>
      </w:r>
    </w:p>
    <w:p w:rsidR="00DF5791" w:rsidRDefault="00DA1C1E" w:rsidP="00202DB7">
      <w:r>
        <w:t>What’s most telling</w:t>
      </w:r>
      <w:r w:rsidR="00E347A5">
        <w:t>, however,</w:t>
      </w:r>
      <w:bookmarkStart w:id="2" w:name="_GoBack"/>
      <w:bookmarkEnd w:id="2"/>
      <w:r>
        <w:t xml:space="preserve"> is what’s absent.  </w:t>
      </w:r>
      <w:r w:rsidR="005B5CBC">
        <w:t>In our original piece we concluded that i</w:t>
      </w:r>
      <w:r w:rsidR="00693B0F">
        <w:t>n many of the studies that use Bayesian models to characterize high-level cognition, there are many possible Bayesian models</w:t>
      </w:r>
      <w:r w:rsidR="005B5CBC">
        <w:t xml:space="preserve"> and many possible standards of optimality</w:t>
      </w:r>
      <w:r w:rsidR="00693B0F">
        <w:t>, and Bayesian theory offers no principled way to choose between them</w:t>
      </w:r>
      <w:r w:rsidR="005B5CBC">
        <w:t xml:space="preserve">. We see nothing in the response of Goodman et al. that </w:t>
      </w:r>
      <w:r w:rsidR="003054C8">
        <w:t xml:space="preserve">alleviates </w:t>
      </w:r>
      <w:r w:rsidR="005B5CBC">
        <w:t>those concerns.</w:t>
      </w:r>
    </w:p>
    <w:sdt>
      <w:sdtPr>
        <w:rPr>
          <w:rFonts w:asciiTheme="minorHAnsi" w:eastAsiaTheme="minorHAnsi" w:hAnsiTheme="minorHAnsi" w:cstheme="minorBidi"/>
          <w:b w:val="0"/>
          <w:bCs w:val="0"/>
          <w:color w:val="auto"/>
          <w:sz w:val="22"/>
          <w:szCs w:val="22"/>
        </w:rPr>
        <w:id w:val="8354119"/>
        <w:docPartObj>
          <w:docPartGallery w:val="Bibliographies"/>
          <w:docPartUnique/>
        </w:docPartObj>
      </w:sdtPr>
      <w:sdtEndPr>
        <w:rPr>
          <w:rFonts w:asciiTheme="majorHAnsi" w:eastAsiaTheme="majorEastAsia" w:hAnsiTheme="majorHAnsi" w:cstheme="majorBidi"/>
          <w:b/>
          <w:bCs/>
          <w:color w:val="365F91" w:themeColor="accent1" w:themeShade="BF"/>
          <w:sz w:val="28"/>
          <w:szCs w:val="28"/>
        </w:rPr>
      </w:sdtEndPr>
      <w:sdtContent>
        <w:p w:rsidR="00B94871" w:rsidRDefault="00181E5C">
          <w:pPr>
            <w:pStyle w:val="Heading1"/>
          </w:pPr>
          <w:r w:rsidRPr="00181E5C">
            <w:rPr>
              <w:color w:val="auto"/>
            </w:rPr>
            <w:t>References</w:t>
          </w:r>
        </w:p>
        <w:p w:rsidR="00B94871" w:rsidRDefault="00A27273">
          <w:pPr>
            <w:pStyle w:val="Heading1"/>
          </w:pPr>
        </w:p>
      </w:sdtContent>
    </w:sdt>
    <w:p w:rsidR="00045607" w:rsidRDefault="00A27273" w:rsidP="00045607">
      <w:pPr>
        <w:pStyle w:val="Bibliography"/>
        <w:rPr>
          <w:noProof/>
          <w:lang w:val="uz-Cyrl-UZ"/>
        </w:rPr>
      </w:pPr>
      <w:r>
        <w:fldChar w:fldCharType="begin"/>
      </w:r>
      <w:r w:rsidR="005E5C58">
        <w:instrText xml:space="preserve"> BIBLIOGRAPHY  \l 1033 </w:instrText>
      </w:r>
      <w:r>
        <w:fldChar w:fldCharType="separate"/>
      </w:r>
      <w:r w:rsidR="00045607">
        <w:rPr>
          <w:noProof/>
          <w:lang w:val="uz-Cyrl-UZ"/>
        </w:rPr>
        <w:t xml:space="preserve">Battaglia, P., Hamrick, J., &amp; Tenenbaum, J. (2013). Simulation as an engine of physical scene understanding. </w:t>
      </w:r>
      <w:r w:rsidR="00045607">
        <w:rPr>
          <w:i/>
          <w:iCs/>
          <w:noProof/>
          <w:lang w:val="uz-Cyrl-UZ"/>
        </w:rPr>
        <w:t>Proceedings of the National Academy of Sciences</w:t>
      </w:r>
      <w:r w:rsidR="00045607">
        <w:rPr>
          <w:noProof/>
          <w:lang w:val="uz-Cyrl-UZ"/>
        </w:rPr>
        <w:t xml:space="preserve"> </w:t>
      </w:r>
      <w:r w:rsidR="00045607">
        <w:rPr>
          <w:i/>
          <w:iCs/>
          <w:noProof/>
          <w:lang w:val="uz-Cyrl-UZ"/>
        </w:rPr>
        <w:t>, 110</w:t>
      </w:r>
      <w:r w:rsidR="00045607">
        <w:rPr>
          <w:noProof/>
          <w:lang w:val="uz-Cyrl-UZ"/>
        </w:rPr>
        <w:t xml:space="preserve"> (45), 18327-18332.</w:t>
      </w:r>
    </w:p>
    <w:p w:rsidR="00045607" w:rsidRDefault="00045607" w:rsidP="00045607">
      <w:pPr>
        <w:pStyle w:val="Bibliography"/>
        <w:rPr>
          <w:noProof/>
          <w:lang w:val="uz-Cyrl-UZ"/>
        </w:rPr>
      </w:pPr>
      <w:r>
        <w:rPr>
          <w:noProof/>
          <w:lang w:val="uz-Cyrl-UZ"/>
        </w:rPr>
        <w:t xml:space="preserve">Cain, M., Vul, E. C., &amp; Mitroff, S. (2012). A Bayesian Optimal Foraging Model of Human Visual Search. </w:t>
      </w:r>
      <w:r>
        <w:rPr>
          <w:i/>
          <w:iCs/>
          <w:noProof/>
          <w:lang w:val="uz-Cyrl-UZ"/>
        </w:rPr>
        <w:t>Psychological Science</w:t>
      </w:r>
      <w:r>
        <w:rPr>
          <w:noProof/>
          <w:lang w:val="uz-Cyrl-UZ"/>
        </w:rPr>
        <w:t xml:space="preserve"> </w:t>
      </w:r>
      <w:r>
        <w:rPr>
          <w:i/>
          <w:iCs/>
          <w:noProof/>
          <w:lang w:val="uz-Cyrl-UZ"/>
        </w:rPr>
        <w:t>, 23</w:t>
      </w:r>
      <w:r>
        <w:rPr>
          <w:noProof/>
          <w:lang w:val="uz-Cyrl-UZ"/>
        </w:rPr>
        <w:t xml:space="preserve"> (9), 1047-1054.</w:t>
      </w:r>
    </w:p>
    <w:p w:rsidR="00045607" w:rsidRDefault="00045607" w:rsidP="00045607">
      <w:pPr>
        <w:pStyle w:val="Bibliography"/>
        <w:rPr>
          <w:noProof/>
          <w:lang w:val="uz-Cyrl-UZ"/>
        </w:rPr>
      </w:pPr>
      <w:r>
        <w:rPr>
          <w:noProof/>
          <w:lang w:val="uz-Cyrl-UZ"/>
        </w:rPr>
        <w:t xml:space="preserve">Davis, E., &amp; Marcus, G. (2014 йил 22-April). </w:t>
      </w:r>
      <w:r>
        <w:rPr>
          <w:i/>
          <w:iCs/>
          <w:noProof/>
          <w:lang w:val="uz-Cyrl-UZ"/>
        </w:rPr>
        <w:t>The Hypothesis Space in Gweon, Tenenbaum, and Schulz (2010).</w:t>
      </w:r>
      <w:r>
        <w:rPr>
          <w:noProof/>
          <w:lang w:val="uz-Cyrl-UZ"/>
        </w:rPr>
        <w:t xml:space="preserve"> From http://www.cs.nyu.edu/faculty/davise/papers/GTS.html</w:t>
      </w:r>
    </w:p>
    <w:p w:rsidR="00045607" w:rsidRDefault="00045607" w:rsidP="00045607">
      <w:pPr>
        <w:pStyle w:val="Bibliography"/>
        <w:rPr>
          <w:noProof/>
          <w:lang w:val="uz-Cyrl-UZ"/>
        </w:rPr>
      </w:pPr>
      <w:r>
        <w:rPr>
          <w:noProof/>
          <w:lang w:val="uz-Cyrl-UZ"/>
        </w:rPr>
        <w:t xml:space="preserve">Endress, A. (2013). Bayesian learning and the psychology of rule induction. </w:t>
      </w:r>
      <w:r>
        <w:rPr>
          <w:i/>
          <w:iCs/>
          <w:noProof/>
          <w:lang w:val="uz-Cyrl-UZ"/>
        </w:rPr>
        <w:t>Cognition</w:t>
      </w:r>
      <w:r>
        <w:rPr>
          <w:noProof/>
          <w:lang w:val="uz-Cyrl-UZ"/>
        </w:rPr>
        <w:t xml:space="preserve"> </w:t>
      </w:r>
      <w:r>
        <w:rPr>
          <w:i/>
          <w:iCs/>
          <w:noProof/>
          <w:lang w:val="uz-Cyrl-UZ"/>
        </w:rPr>
        <w:t>, 127</w:t>
      </w:r>
      <w:r>
        <w:rPr>
          <w:noProof/>
          <w:lang w:val="uz-Cyrl-UZ"/>
        </w:rPr>
        <w:t>, 159-176.</w:t>
      </w:r>
    </w:p>
    <w:p w:rsidR="00045607" w:rsidRDefault="00045607" w:rsidP="00045607">
      <w:pPr>
        <w:pStyle w:val="Bibliography"/>
        <w:rPr>
          <w:noProof/>
          <w:lang w:val="uz-Cyrl-UZ"/>
        </w:rPr>
      </w:pPr>
      <w:r>
        <w:rPr>
          <w:noProof/>
          <w:lang w:val="uz-Cyrl-UZ"/>
        </w:rPr>
        <w:t xml:space="preserve">Frank, M. (2013). Throwing out the Bayesian baby with the optimal bathwater: Response to Endress. </w:t>
      </w:r>
      <w:r>
        <w:rPr>
          <w:i/>
          <w:iCs/>
          <w:noProof/>
          <w:lang w:val="uz-Cyrl-UZ"/>
        </w:rPr>
        <w:t>Cognition</w:t>
      </w:r>
      <w:r>
        <w:rPr>
          <w:noProof/>
          <w:lang w:val="uz-Cyrl-UZ"/>
        </w:rPr>
        <w:t xml:space="preserve"> </w:t>
      </w:r>
      <w:r>
        <w:rPr>
          <w:i/>
          <w:iCs/>
          <w:noProof/>
          <w:lang w:val="uz-Cyrl-UZ"/>
        </w:rPr>
        <w:t>, 128</w:t>
      </w:r>
      <w:r>
        <w:rPr>
          <w:noProof/>
          <w:lang w:val="uz-Cyrl-UZ"/>
        </w:rPr>
        <w:t>, 417-423.</w:t>
      </w:r>
    </w:p>
    <w:p w:rsidR="00045607" w:rsidRDefault="00045607" w:rsidP="00045607">
      <w:pPr>
        <w:pStyle w:val="Bibliography"/>
        <w:rPr>
          <w:noProof/>
          <w:lang w:val="uz-Cyrl-UZ"/>
        </w:rPr>
      </w:pPr>
      <w:r>
        <w:rPr>
          <w:noProof/>
          <w:lang w:val="uz-Cyrl-UZ"/>
        </w:rPr>
        <w:t xml:space="preserve">Frank, M., &amp; Goodman, N. (2012). Predicting pragmatic reasoning in language games. </w:t>
      </w:r>
      <w:r>
        <w:rPr>
          <w:i/>
          <w:iCs/>
          <w:noProof/>
          <w:lang w:val="uz-Cyrl-UZ"/>
        </w:rPr>
        <w:t>Science</w:t>
      </w:r>
      <w:r>
        <w:rPr>
          <w:noProof/>
          <w:lang w:val="uz-Cyrl-UZ"/>
        </w:rPr>
        <w:t xml:space="preserve"> </w:t>
      </w:r>
      <w:r>
        <w:rPr>
          <w:i/>
          <w:iCs/>
          <w:noProof/>
          <w:lang w:val="uz-Cyrl-UZ"/>
        </w:rPr>
        <w:t>, 336</w:t>
      </w:r>
      <w:r>
        <w:rPr>
          <w:noProof/>
          <w:lang w:val="uz-Cyrl-UZ"/>
        </w:rPr>
        <w:t xml:space="preserve"> (6084), 998.</w:t>
      </w:r>
    </w:p>
    <w:p w:rsidR="00045607" w:rsidRDefault="00045607" w:rsidP="00045607">
      <w:pPr>
        <w:pStyle w:val="Bibliography"/>
        <w:rPr>
          <w:noProof/>
          <w:lang w:val="uz-Cyrl-UZ"/>
        </w:rPr>
      </w:pPr>
      <w:r>
        <w:rPr>
          <w:noProof/>
          <w:lang w:val="uz-Cyrl-UZ"/>
        </w:rPr>
        <w:t xml:space="preserve">Frank, M., Goodman, N., Lai, P., &amp; Tenenbaum, J. .. (2009). Informative communication in word production and word learning. </w:t>
      </w:r>
      <w:r>
        <w:rPr>
          <w:i/>
          <w:iCs/>
          <w:noProof/>
          <w:lang w:val="uz-Cyrl-UZ"/>
        </w:rPr>
        <w:t>Proceedings of the 31st Annual Conference of the Cognitive Science Society</w:t>
      </w:r>
      <w:r>
        <w:rPr>
          <w:noProof/>
          <w:lang w:val="uz-Cyrl-UZ"/>
        </w:rPr>
        <w:t>, (pp. 206-211).</w:t>
      </w:r>
    </w:p>
    <w:p w:rsidR="00045607" w:rsidRDefault="00045607" w:rsidP="00045607">
      <w:pPr>
        <w:pStyle w:val="Bibliography"/>
        <w:rPr>
          <w:noProof/>
          <w:lang w:val="uz-Cyrl-UZ"/>
        </w:rPr>
      </w:pPr>
      <w:r>
        <w:rPr>
          <w:noProof/>
          <w:lang w:val="uz-Cyrl-UZ"/>
        </w:rPr>
        <w:t xml:space="preserve">Griffiths, T., &amp; Tenenbaum, J. (2006). Optimal prediction in everyday cognition. </w:t>
      </w:r>
      <w:r>
        <w:rPr>
          <w:i/>
          <w:iCs/>
          <w:noProof/>
          <w:lang w:val="uz-Cyrl-UZ"/>
        </w:rPr>
        <w:t>Psychological Science</w:t>
      </w:r>
      <w:r>
        <w:rPr>
          <w:noProof/>
          <w:lang w:val="uz-Cyrl-UZ"/>
        </w:rPr>
        <w:t xml:space="preserve"> </w:t>
      </w:r>
      <w:r>
        <w:rPr>
          <w:i/>
          <w:iCs/>
          <w:noProof/>
          <w:lang w:val="uz-Cyrl-UZ"/>
        </w:rPr>
        <w:t>, 17</w:t>
      </w:r>
      <w:r>
        <w:rPr>
          <w:noProof/>
          <w:lang w:val="uz-Cyrl-UZ"/>
        </w:rPr>
        <w:t xml:space="preserve"> (9), 767-773.</w:t>
      </w:r>
    </w:p>
    <w:p w:rsidR="00045607" w:rsidRDefault="00045607" w:rsidP="00045607">
      <w:pPr>
        <w:pStyle w:val="Bibliography"/>
        <w:rPr>
          <w:noProof/>
          <w:lang w:val="uz-Cyrl-UZ"/>
        </w:rPr>
      </w:pPr>
      <w:r>
        <w:rPr>
          <w:noProof/>
          <w:lang w:val="uz-Cyrl-UZ"/>
        </w:rPr>
        <w:t xml:space="preserve">Gweon, H., Tenenbaum, J., &amp; Schulz, L. (2010). Infants consider both the sample and the sampling process in inductive generalization. </w:t>
      </w:r>
      <w:r>
        <w:rPr>
          <w:i/>
          <w:iCs/>
          <w:noProof/>
          <w:lang w:val="uz-Cyrl-UZ"/>
        </w:rPr>
        <w:t>Proceedings of the National Academy of Sciences</w:t>
      </w:r>
      <w:r>
        <w:rPr>
          <w:noProof/>
          <w:lang w:val="uz-Cyrl-UZ"/>
        </w:rPr>
        <w:t xml:space="preserve"> </w:t>
      </w:r>
      <w:r>
        <w:rPr>
          <w:i/>
          <w:iCs/>
          <w:noProof/>
          <w:lang w:val="uz-Cyrl-UZ"/>
        </w:rPr>
        <w:t>, 107</w:t>
      </w:r>
      <w:r>
        <w:rPr>
          <w:noProof/>
          <w:lang w:val="uz-Cyrl-UZ"/>
        </w:rPr>
        <w:t xml:space="preserve"> (20), 9066-9071.</w:t>
      </w:r>
    </w:p>
    <w:p w:rsidR="00045607" w:rsidRDefault="00045607" w:rsidP="00045607">
      <w:pPr>
        <w:pStyle w:val="Bibliography"/>
        <w:rPr>
          <w:noProof/>
          <w:lang w:val="uz-Cyrl-UZ"/>
        </w:rPr>
      </w:pPr>
      <w:r>
        <w:rPr>
          <w:noProof/>
          <w:lang w:val="uz-Cyrl-UZ"/>
        </w:rPr>
        <w:t xml:space="preserve">Kao, J., Wu, J., Bergen, N., &amp; Goodman, N. (2014). Nonliteral understanding of number words. </w:t>
      </w:r>
      <w:r>
        <w:rPr>
          <w:i/>
          <w:iCs/>
          <w:noProof/>
          <w:lang w:val="uz-Cyrl-UZ"/>
        </w:rPr>
        <w:t>Proceedings of the National Academy of Sciences</w:t>
      </w:r>
      <w:r>
        <w:rPr>
          <w:noProof/>
          <w:lang w:val="uz-Cyrl-UZ"/>
        </w:rPr>
        <w:t xml:space="preserve"> .</w:t>
      </w:r>
    </w:p>
    <w:p w:rsidR="00045607" w:rsidRDefault="00045607" w:rsidP="00045607">
      <w:pPr>
        <w:pStyle w:val="Bibliography"/>
        <w:rPr>
          <w:noProof/>
          <w:lang w:val="uz-Cyrl-UZ"/>
        </w:rPr>
      </w:pPr>
      <w:r>
        <w:rPr>
          <w:noProof/>
          <w:lang w:val="uz-Cyrl-UZ"/>
        </w:rPr>
        <w:t xml:space="preserve">Kemp, C., &amp; Tenenbaum, J. (2008). The discovery of structural form. </w:t>
      </w:r>
      <w:r>
        <w:rPr>
          <w:i/>
          <w:iCs/>
          <w:noProof/>
          <w:lang w:val="uz-Cyrl-UZ"/>
        </w:rPr>
        <w:t>Proceedings of the national academy of sciences</w:t>
      </w:r>
      <w:r>
        <w:rPr>
          <w:noProof/>
          <w:lang w:val="uz-Cyrl-UZ"/>
        </w:rPr>
        <w:t xml:space="preserve"> </w:t>
      </w:r>
      <w:r>
        <w:rPr>
          <w:i/>
          <w:iCs/>
          <w:noProof/>
          <w:lang w:val="uz-Cyrl-UZ"/>
        </w:rPr>
        <w:t>, 105</w:t>
      </w:r>
      <w:r>
        <w:rPr>
          <w:noProof/>
          <w:lang w:val="uz-Cyrl-UZ"/>
        </w:rPr>
        <w:t xml:space="preserve"> (31), 10687-10692.</w:t>
      </w:r>
    </w:p>
    <w:p w:rsidR="00045607" w:rsidRDefault="00045607" w:rsidP="00045607">
      <w:pPr>
        <w:pStyle w:val="Bibliography"/>
        <w:rPr>
          <w:noProof/>
          <w:lang w:val="uz-Cyrl-UZ"/>
        </w:rPr>
      </w:pPr>
      <w:r>
        <w:rPr>
          <w:noProof/>
          <w:lang w:val="uz-Cyrl-UZ"/>
        </w:rPr>
        <w:t xml:space="preserve">Kording, K., Tenenbaum, J., &amp; Shadmehr, R. (2007). The dynamics of memory are a consequence of optimal adaptation to a changing body. </w:t>
      </w:r>
      <w:r>
        <w:rPr>
          <w:i/>
          <w:iCs/>
          <w:noProof/>
          <w:lang w:val="uz-Cyrl-UZ"/>
        </w:rPr>
        <w:t>Nature Neuroscience</w:t>
      </w:r>
      <w:r>
        <w:rPr>
          <w:noProof/>
          <w:lang w:val="uz-Cyrl-UZ"/>
        </w:rPr>
        <w:t xml:space="preserve"> </w:t>
      </w:r>
      <w:r>
        <w:rPr>
          <w:i/>
          <w:iCs/>
          <w:noProof/>
          <w:lang w:val="uz-Cyrl-UZ"/>
        </w:rPr>
        <w:t>, 10</w:t>
      </w:r>
      <w:r>
        <w:rPr>
          <w:noProof/>
          <w:lang w:val="uz-Cyrl-UZ"/>
        </w:rPr>
        <w:t xml:space="preserve"> (6), 779-786.</w:t>
      </w:r>
    </w:p>
    <w:p w:rsidR="00045607" w:rsidRDefault="00045607" w:rsidP="00045607">
      <w:pPr>
        <w:pStyle w:val="Bibliography"/>
        <w:rPr>
          <w:noProof/>
          <w:lang w:val="uz-Cyrl-UZ"/>
        </w:rPr>
      </w:pPr>
      <w:r>
        <w:rPr>
          <w:noProof/>
          <w:lang w:val="uz-Cyrl-UZ"/>
        </w:rPr>
        <w:t xml:space="preserve">Oakford, M., &amp; Chater, N. (2009). Precis of Bayesian rationality; The probabilistic approach to human reasoning. </w:t>
      </w:r>
      <w:r>
        <w:rPr>
          <w:i/>
          <w:iCs/>
          <w:noProof/>
          <w:lang w:val="uz-Cyrl-UZ"/>
        </w:rPr>
        <w:t>Behavioral and Brain Sciences</w:t>
      </w:r>
      <w:r>
        <w:rPr>
          <w:noProof/>
          <w:lang w:val="uz-Cyrl-UZ"/>
        </w:rPr>
        <w:t xml:space="preserve"> </w:t>
      </w:r>
      <w:r>
        <w:rPr>
          <w:i/>
          <w:iCs/>
          <w:noProof/>
          <w:lang w:val="uz-Cyrl-UZ"/>
        </w:rPr>
        <w:t>, 32</w:t>
      </w:r>
      <w:r>
        <w:rPr>
          <w:noProof/>
          <w:lang w:val="uz-Cyrl-UZ"/>
        </w:rPr>
        <w:t>, 69-120.</w:t>
      </w:r>
    </w:p>
    <w:p w:rsidR="00045607" w:rsidRDefault="00045607" w:rsidP="00045607">
      <w:pPr>
        <w:pStyle w:val="Bibliography"/>
        <w:rPr>
          <w:noProof/>
        </w:rPr>
      </w:pPr>
      <w:r>
        <w:rPr>
          <w:noProof/>
        </w:rPr>
        <w:t xml:space="preserve">Piantadosi, S., Tenenbaum, J., &amp; Goodman, N. (2012). Bootstrapping in a language of thought: A formal model of numerical concept learning. </w:t>
      </w:r>
      <w:r>
        <w:rPr>
          <w:i/>
          <w:iCs/>
          <w:noProof/>
        </w:rPr>
        <w:t>Cognition</w:t>
      </w:r>
      <w:r>
        <w:rPr>
          <w:noProof/>
        </w:rPr>
        <w:t xml:space="preserve"> </w:t>
      </w:r>
      <w:r>
        <w:rPr>
          <w:i/>
          <w:iCs/>
          <w:noProof/>
        </w:rPr>
        <w:t>, 123</w:t>
      </w:r>
      <w:r>
        <w:rPr>
          <w:noProof/>
        </w:rPr>
        <w:t>, 197-217.</w:t>
      </w:r>
    </w:p>
    <w:p w:rsidR="00045607" w:rsidRDefault="00045607" w:rsidP="00045607">
      <w:pPr>
        <w:pStyle w:val="Bibliography"/>
        <w:rPr>
          <w:noProof/>
          <w:lang w:val="uz-Cyrl-UZ"/>
        </w:rPr>
      </w:pPr>
      <w:r>
        <w:rPr>
          <w:noProof/>
          <w:lang w:val="uz-Cyrl-UZ"/>
        </w:rPr>
        <w:t xml:space="preserve">Piantadosi, S., Tiley, H., &amp; Gibson, E. (2011). Word lengths are optimized for efficient communication. </w:t>
      </w:r>
      <w:r>
        <w:rPr>
          <w:i/>
          <w:iCs/>
          <w:noProof/>
          <w:lang w:val="uz-Cyrl-UZ"/>
        </w:rPr>
        <w:t>Proceedings of the National Academy of Sciences</w:t>
      </w:r>
      <w:r>
        <w:rPr>
          <w:noProof/>
          <w:lang w:val="uz-Cyrl-UZ"/>
        </w:rPr>
        <w:t xml:space="preserve"> .</w:t>
      </w:r>
    </w:p>
    <w:p w:rsidR="00045607" w:rsidRDefault="00045607" w:rsidP="00045607">
      <w:pPr>
        <w:pStyle w:val="Bibliography"/>
        <w:rPr>
          <w:noProof/>
        </w:rPr>
      </w:pPr>
      <w:r>
        <w:rPr>
          <w:noProof/>
        </w:rPr>
        <w:t xml:space="preserve">Rips, L., Asmuth, J., &amp; Bloomfield, A. (2013). Can statistical learning bootstrap the integers? </w:t>
      </w:r>
      <w:r>
        <w:rPr>
          <w:i/>
          <w:iCs/>
          <w:noProof/>
        </w:rPr>
        <w:t>Cognition</w:t>
      </w:r>
      <w:r>
        <w:rPr>
          <w:noProof/>
        </w:rPr>
        <w:t xml:space="preserve"> </w:t>
      </w:r>
      <w:r>
        <w:rPr>
          <w:i/>
          <w:iCs/>
          <w:noProof/>
        </w:rPr>
        <w:t>, 128</w:t>
      </w:r>
      <w:r>
        <w:rPr>
          <w:noProof/>
        </w:rPr>
        <w:t>, 320-330.</w:t>
      </w:r>
    </w:p>
    <w:p w:rsidR="00045607" w:rsidRDefault="00045607" w:rsidP="00045607">
      <w:pPr>
        <w:pStyle w:val="Bibliography"/>
        <w:rPr>
          <w:noProof/>
          <w:lang w:val="uz-Cyrl-UZ"/>
        </w:rPr>
      </w:pPr>
      <w:r>
        <w:rPr>
          <w:noProof/>
          <w:lang w:val="uz-Cyrl-UZ"/>
        </w:rPr>
        <w:t xml:space="preserve">Smith, K., &amp; Vul, E. (2013). Sources of Uncertainty in Intuitive Physics. </w:t>
      </w:r>
      <w:r>
        <w:rPr>
          <w:i/>
          <w:iCs/>
          <w:noProof/>
          <w:lang w:val="uz-Cyrl-UZ"/>
        </w:rPr>
        <w:t>Topics in Cognitive Science</w:t>
      </w:r>
      <w:r>
        <w:rPr>
          <w:noProof/>
          <w:lang w:val="uz-Cyrl-UZ"/>
        </w:rPr>
        <w:t xml:space="preserve"> </w:t>
      </w:r>
      <w:r>
        <w:rPr>
          <w:i/>
          <w:iCs/>
          <w:noProof/>
          <w:lang w:val="uz-Cyrl-UZ"/>
        </w:rPr>
        <w:t>, 5</w:t>
      </w:r>
      <w:r>
        <w:rPr>
          <w:noProof/>
          <w:lang w:val="uz-Cyrl-UZ"/>
        </w:rPr>
        <w:t>, 185-199.</w:t>
      </w:r>
    </w:p>
    <w:p w:rsidR="00045607" w:rsidRDefault="00045607" w:rsidP="00045607">
      <w:pPr>
        <w:pStyle w:val="Bibliography"/>
        <w:rPr>
          <w:noProof/>
          <w:lang w:val="uz-Cyrl-UZ"/>
        </w:rPr>
      </w:pPr>
      <w:r>
        <w:rPr>
          <w:noProof/>
          <w:lang w:val="uz-Cyrl-UZ"/>
        </w:rPr>
        <w:t xml:space="preserve">Smith, K., Dechter, E., Tenenbaum, J., &amp; Vul, E. (2013). Physical predictions over time. </w:t>
      </w:r>
      <w:r>
        <w:rPr>
          <w:i/>
          <w:iCs/>
          <w:noProof/>
          <w:lang w:val="uz-Cyrl-UZ"/>
        </w:rPr>
        <w:t>Proceedings of the 35th Annual Meeting of the Cognitive Science Society.</w:t>
      </w:r>
      <w:r>
        <w:rPr>
          <w:noProof/>
          <w:lang w:val="uz-Cyrl-UZ"/>
        </w:rPr>
        <w:t xml:space="preserve"> </w:t>
      </w:r>
    </w:p>
    <w:p w:rsidR="00045607" w:rsidRDefault="00045607" w:rsidP="00045607">
      <w:pPr>
        <w:pStyle w:val="Bibliography"/>
        <w:rPr>
          <w:noProof/>
          <w:lang w:val="uz-Cyrl-UZ"/>
        </w:rPr>
      </w:pPr>
      <w:r>
        <w:rPr>
          <w:noProof/>
          <w:lang w:val="uz-Cyrl-UZ"/>
        </w:rPr>
        <w:t xml:space="preserve">Teglas, E., Vul, E. G., Gonzalez, M., Tenenbaum, J., &amp; Bonatti, L. (2011). Pure Reasoning in 12-Month-Old Infants as Probabilistic Inference. </w:t>
      </w:r>
      <w:r>
        <w:rPr>
          <w:i/>
          <w:iCs/>
          <w:noProof/>
          <w:lang w:val="uz-Cyrl-UZ"/>
        </w:rPr>
        <w:t>Science</w:t>
      </w:r>
      <w:r>
        <w:rPr>
          <w:noProof/>
          <w:lang w:val="uz-Cyrl-UZ"/>
        </w:rPr>
        <w:t xml:space="preserve"> </w:t>
      </w:r>
      <w:r>
        <w:rPr>
          <w:i/>
          <w:iCs/>
          <w:noProof/>
          <w:lang w:val="uz-Cyrl-UZ"/>
        </w:rPr>
        <w:t>, 332</w:t>
      </w:r>
      <w:r>
        <w:rPr>
          <w:noProof/>
          <w:lang w:val="uz-Cyrl-UZ"/>
        </w:rPr>
        <w:t>, 1054-1059.</w:t>
      </w:r>
    </w:p>
    <w:p w:rsidR="00045607" w:rsidRDefault="00045607" w:rsidP="00045607">
      <w:pPr>
        <w:pStyle w:val="Bibliography"/>
        <w:rPr>
          <w:noProof/>
          <w:lang w:val="uz-Cyrl-UZ"/>
        </w:rPr>
      </w:pPr>
      <w:r>
        <w:rPr>
          <w:noProof/>
          <w:lang w:val="uz-Cyrl-UZ"/>
        </w:rPr>
        <w:t xml:space="preserve">Tenenbaum, J., &amp; Griffiths, T. (2001). The rational basis of representativeness. </w:t>
      </w:r>
      <w:r>
        <w:rPr>
          <w:i/>
          <w:iCs/>
          <w:noProof/>
          <w:lang w:val="uz-Cyrl-UZ"/>
        </w:rPr>
        <w:t>Proceedings of the 23rd Annual Meeting of the Cognitive Science Society</w:t>
      </w:r>
      <w:r>
        <w:rPr>
          <w:noProof/>
          <w:lang w:val="uz-Cyrl-UZ"/>
        </w:rPr>
        <w:t>, (pp. 1036-1041).</w:t>
      </w:r>
    </w:p>
    <w:p w:rsidR="00045607" w:rsidRDefault="00045607" w:rsidP="00045607">
      <w:pPr>
        <w:pStyle w:val="Bibliography"/>
        <w:rPr>
          <w:noProof/>
          <w:lang w:val="uz-Cyrl-UZ"/>
        </w:rPr>
      </w:pPr>
      <w:r>
        <w:rPr>
          <w:noProof/>
          <w:lang w:val="uz-Cyrl-UZ"/>
        </w:rPr>
        <w:t xml:space="preserve">Xu, F., &amp; Tenenbaum, J. (2007). Word learning as Bayesian inference. </w:t>
      </w:r>
      <w:r>
        <w:rPr>
          <w:i/>
          <w:iCs/>
          <w:noProof/>
          <w:lang w:val="uz-Cyrl-UZ"/>
        </w:rPr>
        <w:t>Psychological Review</w:t>
      </w:r>
      <w:r>
        <w:rPr>
          <w:noProof/>
          <w:lang w:val="uz-Cyrl-UZ"/>
        </w:rPr>
        <w:t xml:space="preserve"> </w:t>
      </w:r>
      <w:r>
        <w:rPr>
          <w:i/>
          <w:iCs/>
          <w:noProof/>
          <w:lang w:val="uz-Cyrl-UZ"/>
        </w:rPr>
        <w:t>, 114</w:t>
      </w:r>
      <w:r>
        <w:rPr>
          <w:noProof/>
          <w:lang w:val="uz-Cyrl-UZ"/>
        </w:rPr>
        <w:t xml:space="preserve"> (2), 245-272.</w:t>
      </w:r>
    </w:p>
    <w:p w:rsidR="00C1241D" w:rsidRDefault="00A27273" w:rsidP="00045607">
      <w:r>
        <w:fldChar w:fldCharType="end"/>
      </w:r>
    </w:p>
    <w:sectPr w:rsidR="00C1241D" w:rsidSect="00E83B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D30" w:rsidRDefault="00AC6D30" w:rsidP="00923D10">
      <w:pPr>
        <w:spacing w:after="0" w:line="240" w:lineRule="auto"/>
      </w:pPr>
      <w:r>
        <w:separator/>
      </w:r>
    </w:p>
  </w:endnote>
  <w:endnote w:type="continuationSeparator" w:id="0">
    <w:p w:rsidR="00AC6D30" w:rsidRDefault="00AC6D30" w:rsidP="00923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D30" w:rsidRDefault="00AC6D30" w:rsidP="00923D10">
      <w:pPr>
        <w:spacing w:after="0" w:line="240" w:lineRule="auto"/>
      </w:pPr>
      <w:r>
        <w:separator/>
      </w:r>
    </w:p>
  </w:footnote>
  <w:footnote w:type="continuationSeparator" w:id="0">
    <w:p w:rsidR="00AC6D30" w:rsidRDefault="00AC6D30" w:rsidP="00923D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trackRevisions/>
  <w:defaultTabStop w:val="720"/>
  <w:characterSpacingControl w:val="doNotCompress"/>
  <w:footnotePr>
    <w:footnote w:id="-1"/>
    <w:footnote w:id="0"/>
  </w:footnotePr>
  <w:endnotePr>
    <w:endnote w:id="-1"/>
    <w:endnote w:id="0"/>
  </w:endnotePr>
  <w:compat/>
  <w:rsids>
    <w:rsidRoot w:val="00A15539"/>
    <w:rsid w:val="0002176F"/>
    <w:rsid w:val="00031F1A"/>
    <w:rsid w:val="00040DBB"/>
    <w:rsid w:val="00045607"/>
    <w:rsid w:val="00054109"/>
    <w:rsid w:val="0008682E"/>
    <w:rsid w:val="000B7973"/>
    <w:rsid w:val="000C1EBC"/>
    <w:rsid w:val="001124E6"/>
    <w:rsid w:val="00131029"/>
    <w:rsid w:val="00147242"/>
    <w:rsid w:val="00170645"/>
    <w:rsid w:val="001724A6"/>
    <w:rsid w:val="00181E5C"/>
    <w:rsid w:val="001B57A2"/>
    <w:rsid w:val="001C20B4"/>
    <w:rsid w:val="001C5F02"/>
    <w:rsid w:val="001D03C8"/>
    <w:rsid w:val="001E080A"/>
    <w:rsid w:val="00202DB7"/>
    <w:rsid w:val="00211146"/>
    <w:rsid w:val="00212C4C"/>
    <w:rsid w:val="00224599"/>
    <w:rsid w:val="0024736F"/>
    <w:rsid w:val="00260145"/>
    <w:rsid w:val="0026118F"/>
    <w:rsid w:val="0026774F"/>
    <w:rsid w:val="002B05DF"/>
    <w:rsid w:val="002C6500"/>
    <w:rsid w:val="002D04E5"/>
    <w:rsid w:val="002F097D"/>
    <w:rsid w:val="003039F3"/>
    <w:rsid w:val="003054C8"/>
    <w:rsid w:val="00333F84"/>
    <w:rsid w:val="003363E3"/>
    <w:rsid w:val="00364C70"/>
    <w:rsid w:val="00371358"/>
    <w:rsid w:val="0038312A"/>
    <w:rsid w:val="00383752"/>
    <w:rsid w:val="003A2CF3"/>
    <w:rsid w:val="003B23A5"/>
    <w:rsid w:val="003B6247"/>
    <w:rsid w:val="003C47A5"/>
    <w:rsid w:val="003E07A7"/>
    <w:rsid w:val="003F1FF5"/>
    <w:rsid w:val="0040795D"/>
    <w:rsid w:val="00416E57"/>
    <w:rsid w:val="00416F33"/>
    <w:rsid w:val="004463E0"/>
    <w:rsid w:val="00455C25"/>
    <w:rsid w:val="00465B33"/>
    <w:rsid w:val="00475E0C"/>
    <w:rsid w:val="00493C4B"/>
    <w:rsid w:val="004B61CA"/>
    <w:rsid w:val="004B64E2"/>
    <w:rsid w:val="004C293B"/>
    <w:rsid w:val="004D02AF"/>
    <w:rsid w:val="004D3722"/>
    <w:rsid w:val="0050546C"/>
    <w:rsid w:val="00532726"/>
    <w:rsid w:val="005430F8"/>
    <w:rsid w:val="00546E71"/>
    <w:rsid w:val="0055248D"/>
    <w:rsid w:val="00556851"/>
    <w:rsid w:val="005569BA"/>
    <w:rsid w:val="00566E80"/>
    <w:rsid w:val="00582FC6"/>
    <w:rsid w:val="005966C8"/>
    <w:rsid w:val="005A10D4"/>
    <w:rsid w:val="005B5CBC"/>
    <w:rsid w:val="005D4C6E"/>
    <w:rsid w:val="005E5C58"/>
    <w:rsid w:val="005F6897"/>
    <w:rsid w:val="0060740B"/>
    <w:rsid w:val="00621F8C"/>
    <w:rsid w:val="006813BF"/>
    <w:rsid w:val="00682C5E"/>
    <w:rsid w:val="00693B0F"/>
    <w:rsid w:val="006973DA"/>
    <w:rsid w:val="006A125B"/>
    <w:rsid w:val="006A43A6"/>
    <w:rsid w:val="006B27A6"/>
    <w:rsid w:val="006B7EF6"/>
    <w:rsid w:val="006D324D"/>
    <w:rsid w:val="006F12CD"/>
    <w:rsid w:val="006F760C"/>
    <w:rsid w:val="00700818"/>
    <w:rsid w:val="00725BB7"/>
    <w:rsid w:val="0073240A"/>
    <w:rsid w:val="0074621D"/>
    <w:rsid w:val="007779AC"/>
    <w:rsid w:val="00794506"/>
    <w:rsid w:val="00797D03"/>
    <w:rsid w:val="007A2947"/>
    <w:rsid w:val="007E0E79"/>
    <w:rsid w:val="007F0532"/>
    <w:rsid w:val="007F1E4B"/>
    <w:rsid w:val="007F7DA1"/>
    <w:rsid w:val="00820C0C"/>
    <w:rsid w:val="00830E04"/>
    <w:rsid w:val="008577E8"/>
    <w:rsid w:val="00863EC6"/>
    <w:rsid w:val="00892BD5"/>
    <w:rsid w:val="008D3117"/>
    <w:rsid w:val="008E3666"/>
    <w:rsid w:val="00903EFC"/>
    <w:rsid w:val="00923D10"/>
    <w:rsid w:val="00927928"/>
    <w:rsid w:val="00931860"/>
    <w:rsid w:val="009356A6"/>
    <w:rsid w:val="00940B2F"/>
    <w:rsid w:val="00994CD0"/>
    <w:rsid w:val="009A0904"/>
    <w:rsid w:val="009C1FA3"/>
    <w:rsid w:val="00A0367F"/>
    <w:rsid w:val="00A06603"/>
    <w:rsid w:val="00A15539"/>
    <w:rsid w:val="00A27273"/>
    <w:rsid w:val="00A37040"/>
    <w:rsid w:val="00A40E7B"/>
    <w:rsid w:val="00A50B98"/>
    <w:rsid w:val="00A55F1C"/>
    <w:rsid w:val="00A66558"/>
    <w:rsid w:val="00A66747"/>
    <w:rsid w:val="00A70364"/>
    <w:rsid w:val="00A721E1"/>
    <w:rsid w:val="00AA1CD4"/>
    <w:rsid w:val="00AB0B27"/>
    <w:rsid w:val="00AC4597"/>
    <w:rsid w:val="00AC6D30"/>
    <w:rsid w:val="00AF75DE"/>
    <w:rsid w:val="00B14FDA"/>
    <w:rsid w:val="00B43E04"/>
    <w:rsid w:val="00B73500"/>
    <w:rsid w:val="00B81A3C"/>
    <w:rsid w:val="00B85872"/>
    <w:rsid w:val="00B85DD4"/>
    <w:rsid w:val="00B86298"/>
    <w:rsid w:val="00B94871"/>
    <w:rsid w:val="00B96709"/>
    <w:rsid w:val="00B97E1B"/>
    <w:rsid w:val="00BA14AF"/>
    <w:rsid w:val="00BF1DFB"/>
    <w:rsid w:val="00C0130D"/>
    <w:rsid w:val="00C05C1A"/>
    <w:rsid w:val="00C1241D"/>
    <w:rsid w:val="00C174AB"/>
    <w:rsid w:val="00C23DC9"/>
    <w:rsid w:val="00C32D03"/>
    <w:rsid w:val="00C828B1"/>
    <w:rsid w:val="00C87793"/>
    <w:rsid w:val="00C933E3"/>
    <w:rsid w:val="00C9414F"/>
    <w:rsid w:val="00CA183D"/>
    <w:rsid w:val="00CC32F3"/>
    <w:rsid w:val="00CC4B23"/>
    <w:rsid w:val="00CD116A"/>
    <w:rsid w:val="00CE7366"/>
    <w:rsid w:val="00D10A5A"/>
    <w:rsid w:val="00D170C4"/>
    <w:rsid w:val="00D329BF"/>
    <w:rsid w:val="00D36581"/>
    <w:rsid w:val="00D60CE5"/>
    <w:rsid w:val="00D7407C"/>
    <w:rsid w:val="00D81588"/>
    <w:rsid w:val="00D836E9"/>
    <w:rsid w:val="00D972DA"/>
    <w:rsid w:val="00D97FC0"/>
    <w:rsid w:val="00DA1C1E"/>
    <w:rsid w:val="00DA556C"/>
    <w:rsid w:val="00DB3C43"/>
    <w:rsid w:val="00DB58A3"/>
    <w:rsid w:val="00DF5791"/>
    <w:rsid w:val="00E1688C"/>
    <w:rsid w:val="00E347A5"/>
    <w:rsid w:val="00E35613"/>
    <w:rsid w:val="00E82A7E"/>
    <w:rsid w:val="00E83BF4"/>
    <w:rsid w:val="00E97602"/>
    <w:rsid w:val="00EC0288"/>
    <w:rsid w:val="00ED4127"/>
    <w:rsid w:val="00F06C17"/>
    <w:rsid w:val="00F12FBA"/>
    <w:rsid w:val="00F24176"/>
    <w:rsid w:val="00F33EC5"/>
    <w:rsid w:val="00F46AAE"/>
    <w:rsid w:val="00F52690"/>
    <w:rsid w:val="00F61DB4"/>
    <w:rsid w:val="00F64767"/>
    <w:rsid w:val="00F72992"/>
    <w:rsid w:val="00F7335E"/>
    <w:rsid w:val="00F73B9D"/>
    <w:rsid w:val="00F94A76"/>
    <w:rsid w:val="00F97469"/>
    <w:rsid w:val="00FB2E11"/>
    <w:rsid w:val="00FC42FC"/>
    <w:rsid w:val="00FE7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F4"/>
  </w:style>
  <w:style w:type="paragraph" w:styleId="Heading1">
    <w:name w:val="heading 1"/>
    <w:basedOn w:val="Normal"/>
    <w:next w:val="Normal"/>
    <w:link w:val="Heading1Char"/>
    <w:uiPriority w:val="9"/>
    <w:qFormat/>
    <w:rsid w:val="00202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183D"/>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B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33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C5"/>
    <w:rPr>
      <w:rFonts w:ascii="Tahoma" w:hAnsi="Tahoma" w:cs="Tahoma"/>
      <w:sz w:val="16"/>
      <w:szCs w:val="16"/>
    </w:rPr>
  </w:style>
  <w:style w:type="paragraph" w:styleId="FootnoteText">
    <w:name w:val="footnote text"/>
    <w:basedOn w:val="Normal"/>
    <w:link w:val="FootnoteTextChar"/>
    <w:uiPriority w:val="99"/>
    <w:unhideWhenUsed/>
    <w:rsid w:val="00923D10"/>
    <w:pPr>
      <w:spacing w:after="0" w:line="240" w:lineRule="auto"/>
    </w:pPr>
    <w:rPr>
      <w:sz w:val="20"/>
      <w:szCs w:val="20"/>
    </w:rPr>
  </w:style>
  <w:style w:type="character" w:customStyle="1" w:styleId="FootnoteTextChar">
    <w:name w:val="Footnote Text Char"/>
    <w:basedOn w:val="DefaultParagraphFont"/>
    <w:link w:val="FootnoteText"/>
    <w:uiPriority w:val="99"/>
    <w:rsid w:val="00923D10"/>
    <w:rPr>
      <w:sz w:val="20"/>
      <w:szCs w:val="20"/>
    </w:rPr>
  </w:style>
  <w:style w:type="character" w:styleId="FootnoteReference">
    <w:name w:val="footnote reference"/>
    <w:basedOn w:val="DefaultParagraphFont"/>
    <w:uiPriority w:val="99"/>
    <w:unhideWhenUsed/>
    <w:rsid w:val="00923D10"/>
    <w:rPr>
      <w:vertAlign w:val="superscript"/>
    </w:rPr>
  </w:style>
  <w:style w:type="paragraph" w:styleId="Bibliography">
    <w:name w:val="Bibliography"/>
    <w:basedOn w:val="Normal"/>
    <w:next w:val="Normal"/>
    <w:uiPriority w:val="37"/>
    <w:unhideWhenUsed/>
    <w:rsid w:val="00DF5791"/>
  </w:style>
  <w:style w:type="paragraph" w:styleId="DocumentMap">
    <w:name w:val="Document Map"/>
    <w:basedOn w:val="Normal"/>
    <w:link w:val="DocumentMapChar"/>
    <w:uiPriority w:val="99"/>
    <w:semiHidden/>
    <w:unhideWhenUsed/>
    <w:rsid w:val="00465B3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65B33"/>
    <w:rPr>
      <w:rFonts w:ascii="Tahoma" w:hAnsi="Tahoma" w:cs="Tahoma"/>
      <w:sz w:val="16"/>
      <w:szCs w:val="16"/>
    </w:rPr>
  </w:style>
  <w:style w:type="character" w:styleId="CommentReference">
    <w:name w:val="annotation reference"/>
    <w:basedOn w:val="DefaultParagraphFont"/>
    <w:uiPriority w:val="99"/>
    <w:semiHidden/>
    <w:unhideWhenUsed/>
    <w:rsid w:val="00C174AB"/>
    <w:rPr>
      <w:sz w:val="16"/>
      <w:szCs w:val="16"/>
    </w:rPr>
  </w:style>
  <w:style w:type="paragraph" w:styleId="CommentText">
    <w:name w:val="annotation text"/>
    <w:basedOn w:val="Normal"/>
    <w:link w:val="CommentTextChar"/>
    <w:uiPriority w:val="99"/>
    <w:semiHidden/>
    <w:unhideWhenUsed/>
    <w:rsid w:val="00C174AB"/>
    <w:pPr>
      <w:spacing w:line="240" w:lineRule="auto"/>
    </w:pPr>
    <w:rPr>
      <w:sz w:val="20"/>
      <w:szCs w:val="20"/>
    </w:rPr>
  </w:style>
  <w:style w:type="character" w:customStyle="1" w:styleId="CommentTextChar">
    <w:name w:val="Comment Text Char"/>
    <w:basedOn w:val="DefaultParagraphFont"/>
    <w:link w:val="CommentText"/>
    <w:uiPriority w:val="99"/>
    <w:semiHidden/>
    <w:rsid w:val="00C174AB"/>
    <w:rPr>
      <w:sz w:val="20"/>
      <w:szCs w:val="20"/>
    </w:rPr>
  </w:style>
  <w:style w:type="paragraph" w:styleId="CommentSubject">
    <w:name w:val="annotation subject"/>
    <w:basedOn w:val="CommentText"/>
    <w:next w:val="CommentText"/>
    <w:link w:val="CommentSubjectChar"/>
    <w:uiPriority w:val="99"/>
    <w:semiHidden/>
    <w:unhideWhenUsed/>
    <w:rsid w:val="00C174AB"/>
    <w:rPr>
      <w:b/>
      <w:bCs/>
    </w:rPr>
  </w:style>
  <w:style w:type="character" w:customStyle="1" w:styleId="CommentSubjectChar">
    <w:name w:val="Comment Subject Char"/>
    <w:basedOn w:val="CommentTextChar"/>
    <w:link w:val="CommentSubject"/>
    <w:uiPriority w:val="99"/>
    <w:semiHidden/>
    <w:rsid w:val="00C174AB"/>
    <w:rPr>
      <w:b/>
      <w:bCs/>
      <w:sz w:val="20"/>
      <w:szCs w:val="20"/>
    </w:rPr>
  </w:style>
  <w:style w:type="character" w:customStyle="1" w:styleId="Heading2Char">
    <w:name w:val="Heading 2 Char"/>
    <w:basedOn w:val="DefaultParagraphFont"/>
    <w:link w:val="Heading2"/>
    <w:uiPriority w:val="9"/>
    <w:rsid w:val="00CA183D"/>
    <w:rPr>
      <w:rFonts w:asciiTheme="majorHAnsi" w:eastAsiaTheme="majorEastAsia" w:hAnsiTheme="majorHAnsi" w:cstheme="majorBidi"/>
      <w:b/>
      <w:bCs/>
      <w:sz w:val="26"/>
      <w:szCs w:val="26"/>
    </w:rPr>
  </w:style>
  <w:style w:type="paragraph" w:styleId="HTMLPreformatted">
    <w:name w:val="HTML Preformatted"/>
    <w:basedOn w:val="Normal"/>
    <w:link w:val="HTMLPreformattedChar"/>
    <w:uiPriority w:val="99"/>
    <w:unhideWhenUsed/>
    <w:rsid w:val="003E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rsid w:val="003E07A7"/>
    <w:rPr>
      <w:rFonts w:ascii="Courier New" w:eastAsia="Times New Roman" w:hAnsi="Courier New" w:cs="Courier New"/>
      <w:color w:val="102070"/>
      <w:sz w:val="18"/>
      <w:szCs w:val="18"/>
    </w:rPr>
  </w:style>
  <w:style w:type="paragraph" w:styleId="Revision">
    <w:name w:val="Revision"/>
    <w:hidden/>
    <w:uiPriority w:val="99"/>
    <w:semiHidden/>
    <w:rsid w:val="00493C4B"/>
    <w:pPr>
      <w:spacing w:after="0" w:line="240" w:lineRule="auto"/>
    </w:pPr>
  </w:style>
  <w:style w:type="character" w:styleId="Hyperlink">
    <w:name w:val="Hyperlink"/>
    <w:basedOn w:val="DefaultParagraphFont"/>
    <w:uiPriority w:val="99"/>
    <w:semiHidden/>
    <w:unhideWhenUsed/>
    <w:rsid w:val="00493C4B"/>
    <w:rPr>
      <w:strike w:val="0"/>
      <w:dstrike w:val="0"/>
      <w:color w:val="316C9D"/>
      <w:u w:val="none"/>
      <w:effect w:val="none"/>
    </w:rPr>
  </w:style>
  <w:style w:type="paragraph" w:styleId="Header">
    <w:name w:val="header"/>
    <w:basedOn w:val="Normal"/>
    <w:link w:val="HeaderChar"/>
    <w:uiPriority w:val="99"/>
    <w:semiHidden/>
    <w:unhideWhenUsed/>
    <w:rsid w:val="006973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3DA"/>
  </w:style>
  <w:style w:type="paragraph" w:styleId="Footer">
    <w:name w:val="footer"/>
    <w:basedOn w:val="Normal"/>
    <w:link w:val="FooterChar"/>
    <w:uiPriority w:val="99"/>
    <w:semiHidden/>
    <w:unhideWhenUsed/>
    <w:rsid w:val="006973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73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F4"/>
  </w:style>
  <w:style w:type="paragraph" w:styleId="Heading1">
    <w:name w:val="heading 1"/>
    <w:basedOn w:val="Normal"/>
    <w:next w:val="Normal"/>
    <w:link w:val="Heading1Char"/>
    <w:uiPriority w:val="9"/>
    <w:qFormat/>
    <w:rsid w:val="00202D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A183D"/>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B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33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C5"/>
    <w:rPr>
      <w:rFonts w:ascii="Tahoma" w:hAnsi="Tahoma" w:cs="Tahoma"/>
      <w:sz w:val="16"/>
      <w:szCs w:val="16"/>
    </w:rPr>
  </w:style>
  <w:style w:type="paragraph" w:styleId="FootnoteText">
    <w:name w:val="footnote text"/>
    <w:basedOn w:val="Normal"/>
    <w:link w:val="FootnoteTextChar"/>
    <w:uiPriority w:val="99"/>
    <w:unhideWhenUsed/>
    <w:rsid w:val="00923D10"/>
    <w:pPr>
      <w:spacing w:after="0" w:line="240" w:lineRule="auto"/>
    </w:pPr>
    <w:rPr>
      <w:sz w:val="20"/>
      <w:szCs w:val="20"/>
    </w:rPr>
  </w:style>
  <w:style w:type="character" w:customStyle="1" w:styleId="FootnoteTextChar">
    <w:name w:val="Footnote Text Char"/>
    <w:basedOn w:val="DefaultParagraphFont"/>
    <w:link w:val="FootnoteText"/>
    <w:uiPriority w:val="99"/>
    <w:rsid w:val="00923D10"/>
    <w:rPr>
      <w:sz w:val="20"/>
      <w:szCs w:val="20"/>
    </w:rPr>
  </w:style>
  <w:style w:type="character" w:styleId="FootnoteReference">
    <w:name w:val="footnote reference"/>
    <w:basedOn w:val="DefaultParagraphFont"/>
    <w:uiPriority w:val="99"/>
    <w:unhideWhenUsed/>
    <w:rsid w:val="00923D10"/>
    <w:rPr>
      <w:vertAlign w:val="superscript"/>
    </w:rPr>
  </w:style>
  <w:style w:type="paragraph" w:styleId="Bibliography">
    <w:name w:val="Bibliography"/>
    <w:basedOn w:val="Normal"/>
    <w:next w:val="Normal"/>
    <w:uiPriority w:val="37"/>
    <w:unhideWhenUsed/>
    <w:rsid w:val="00DF5791"/>
  </w:style>
  <w:style w:type="paragraph" w:styleId="DocumentMap">
    <w:name w:val="Document Map"/>
    <w:basedOn w:val="Normal"/>
    <w:link w:val="DocumentMapChar"/>
    <w:uiPriority w:val="99"/>
    <w:semiHidden/>
    <w:unhideWhenUsed/>
    <w:rsid w:val="00465B3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65B33"/>
    <w:rPr>
      <w:rFonts w:ascii="Tahoma" w:hAnsi="Tahoma" w:cs="Tahoma"/>
      <w:sz w:val="16"/>
      <w:szCs w:val="16"/>
    </w:rPr>
  </w:style>
  <w:style w:type="character" w:styleId="CommentReference">
    <w:name w:val="annotation reference"/>
    <w:basedOn w:val="DefaultParagraphFont"/>
    <w:uiPriority w:val="99"/>
    <w:semiHidden/>
    <w:unhideWhenUsed/>
    <w:rsid w:val="00C174AB"/>
    <w:rPr>
      <w:sz w:val="16"/>
      <w:szCs w:val="16"/>
    </w:rPr>
  </w:style>
  <w:style w:type="paragraph" w:styleId="CommentText">
    <w:name w:val="annotation text"/>
    <w:basedOn w:val="Normal"/>
    <w:link w:val="CommentTextChar"/>
    <w:uiPriority w:val="99"/>
    <w:semiHidden/>
    <w:unhideWhenUsed/>
    <w:rsid w:val="00C174AB"/>
    <w:pPr>
      <w:spacing w:line="240" w:lineRule="auto"/>
    </w:pPr>
    <w:rPr>
      <w:sz w:val="20"/>
      <w:szCs w:val="20"/>
    </w:rPr>
  </w:style>
  <w:style w:type="character" w:customStyle="1" w:styleId="CommentTextChar">
    <w:name w:val="Comment Text Char"/>
    <w:basedOn w:val="DefaultParagraphFont"/>
    <w:link w:val="CommentText"/>
    <w:uiPriority w:val="99"/>
    <w:semiHidden/>
    <w:rsid w:val="00C174AB"/>
    <w:rPr>
      <w:sz w:val="20"/>
      <w:szCs w:val="20"/>
    </w:rPr>
  </w:style>
  <w:style w:type="paragraph" w:styleId="CommentSubject">
    <w:name w:val="annotation subject"/>
    <w:basedOn w:val="CommentText"/>
    <w:next w:val="CommentText"/>
    <w:link w:val="CommentSubjectChar"/>
    <w:uiPriority w:val="99"/>
    <w:semiHidden/>
    <w:unhideWhenUsed/>
    <w:rsid w:val="00C174AB"/>
    <w:rPr>
      <w:b/>
      <w:bCs/>
    </w:rPr>
  </w:style>
  <w:style w:type="character" w:customStyle="1" w:styleId="CommentSubjectChar">
    <w:name w:val="Comment Subject Char"/>
    <w:basedOn w:val="CommentTextChar"/>
    <w:link w:val="CommentSubject"/>
    <w:uiPriority w:val="99"/>
    <w:semiHidden/>
    <w:rsid w:val="00C174AB"/>
    <w:rPr>
      <w:b/>
      <w:bCs/>
      <w:sz w:val="20"/>
      <w:szCs w:val="20"/>
    </w:rPr>
  </w:style>
  <w:style w:type="character" w:customStyle="1" w:styleId="Heading2Char">
    <w:name w:val="Heading 2 Char"/>
    <w:basedOn w:val="DefaultParagraphFont"/>
    <w:link w:val="Heading2"/>
    <w:uiPriority w:val="9"/>
    <w:rsid w:val="00CA183D"/>
    <w:rPr>
      <w:rFonts w:asciiTheme="majorHAnsi" w:eastAsiaTheme="majorEastAsia" w:hAnsiTheme="majorHAnsi" w:cstheme="majorBidi"/>
      <w:b/>
      <w:bCs/>
      <w:sz w:val="26"/>
      <w:szCs w:val="26"/>
    </w:rPr>
  </w:style>
  <w:style w:type="paragraph" w:styleId="HTMLPreformatted">
    <w:name w:val="HTML Preformatted"/>
    <w:basedOn w:val="Normal"/>
    <w:link w:val="HTMLPreformattedChar"/>
    <w:uiPriority w:val="99"/>
    <w:unhideWhenUsed/>
    <w:rsid w:val="003E0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rsid w:val="003E07A7"/>
    <w:rPr>
      <w:rFonts w:ascii="Courier New" w:eastAsia="Times New Roman" w:hAnsi="Courier New" w:cs="Courier New"/>
      <w:color w:val="102070"/>
      <w:sz w:val="18"/>
      <w:szCs w:val="18"/>
    </w:rPr>
  </w:style>
  <w:style w:type="paragraph" w:styleId="Revision">
    <w:name w:val="Revision"/>
    <w:hidden/>
    <w:uiPriority w:val="99"/>
    <w:semiHidden/>
    <w:rsid w:val="00493C4B"/>
    <w:pPr>
      <w:spacing w:after="0" w:line="240" w:lineRule="auto"/>
    </w:pPr>
  </w:style>
  <w:style w:type="character" w:styleId="Hyperlink">
    <w:name w:val="Hyperlink"/>
    <w:basedOn w:val="DefaultParagraphFont"/>
    <w:uiPriority w:val="99"/>
    <w:semiHidden/>
    <w:unhideWhenUsed/>
    <w:rsid w:val="00493C4B"/>
    <w:rPr>
      <w:strike w:val="0"/>
      <w:dstrike w:val="0"/>
      <w:color w:val="316C9D"/>
      <w:u w:val="none"/>
      <w:effect w:val="none"/>
    </w:rPr>
  </w:style>
  <w:style w:type="paragraph" w:styleId="Header">
    <w:name w:val="header"/>
    <w:basedOn w:val="Normal"/>
    <w:link w:val="HeaderChar"/>
    <w:uiPriority w:val="99"/>
    <w:semiHidden/>
    <w:unhideWhenUsed/>
    <w:rsid w:val="006973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3DA"/>
  </w:style>
  <w:style w:type="paragraph" w:styleId="Footer">
    <w:name w:val="footer"/>
    <w:basedOn w:val="Normal"/>
    <w:link w:val="FooterChar"/>
    <w:uiPriority w:val="99"/>
    <w:semiHidden/>
    <w:unhideWhenUsed/>
    <w:rsid w:val="006973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73DA"/>
  </w:style>
</w:styles>
</file>

<file path=word/webSettings.xml><?xml version="1.0" encoding="utf-8"?>
<w:webSettings xmlns:r="http://schemas.openxmlformats.org/officeDocument/2006/relationships" xmlns:w="http://schemas.openxmlformats.org/wordprocessingml/2006/main">
  <w:divs>
    <w:div w:id="349721161">
      <w:bodyDiv w:val="1"/>
      <w:marLeft w:val="0"/>
      <w:marRight w:val="0"/>
      <w:marTop w:val="0"/>
      <w:marBottom w:val="0"/>
      <w:divBdr>
        <w:top w:val="none" w:sz="0" w:space="0" w:color="auto"/>
        <w:left w:val="none" w:sz="0" w:space="0" w:color="auto"/>
        <w:bottom w:val="none" w:sz="0" w:space="0" w:color="auto"/>
        <w:right w:val="none" w:sz="0" w:space="0" w:color="auto"/>
      </w:divBdr>
      <w:divsChild>
        <w:div w:id="455370486">
          <w:marLeft w:val="0"/>
          <w:marRight w:val="0"/>
          <w:marTop w:val="0"/>
          <w:marBottom w:val="0"/>
          <w:divBdr>
            <w:top w:val="none" w:sz="0" w:space="0" w:color="auto"/>
            <w:left w:val="none" w:sz="0" w:space="0" w:color="auto"/>
            <w:bottom w:val="none" w:sz="0" w:space="0" w:color="auto"/>
            <w:right w:val="none" w:sz="0" w:space="0" w:color="auto"/>
          </w:divBdr>
          <w:divsChild>
            <w:div w:id="235945712">
              <w:marLeft w:val="0"/>
              <w:marRight w:val="0"/>
              <w:marTop w:val="0"/>
              <w:marBottom w:val="0"/>
              <w:divBdr>
                <w:top w:val="none" w:sz="0" w:space="0" w:color="auto"/>
                <w:left w:val="none" w:sz="0" w:space="0" w:color="auto"/>
                <w:bottom w:val="none" w:sz="0" w:space="0" w:color="auto"/>
                <w:right w:val="none" w:sz="0" w:space="0" w:color="auto"/>
              </w:divBdr>
              <w:divsChild>
                <w:div w:id="779570015">
                  <w:marLeft w:val="0"/>
                  <w:marRight w:val="0"/>
                  <w:marTop w:val="0"/>
                  <w:marBottom w:val="0"/>
                  <w:divBdr>
                    <w:top w:val="none" w:sz="0" w:space="0" w:color="auto"/>
                    <w:left w:val="none" w:sz="0" w:space="0" w:color="auto"/>
                    <w:bottom w:val="none" w:sz="0" w:space="0" w:color="auto"/>
                    <w:right w:val="none" w:sz="0" w:space="0" w:color="auto"/>
                  </w:divBdr>
                  <w:divsChild>
                    <w:div w:id="1837181746">
                      <w:marLeft w:val="0"/>
                      <w:marRight w:val="0"/>
                      <w:marTop w:val="0"/>
                      <w:marBottom w:val="0"/>
                      <w:divBdr>
                        <w:top w:val="none" w:sz="0" w:space="0" w:color="auto"/>
                        <w:left w:val="none" w:sz="0" w:space="0" w:color="auto"/>
                        <w:bottom w:val="none" w:sz="0" w:space="0" w:color="auto"/>
                        <w:right w:val="none" w:sz="0" w:space="0" w:color="auto"/>
                      </w:divBdr>
                      <w:divsChild>
                        <w:div w:id="640499172">
                          <w:marLeft w:val="0"/>
                          <w:marRight w:val="0"/>
                          <w:marTop w:val="15"/>
                          <w:marBottom w:val="0"/>
                          <w:divBdr>
                            <w:top w:val="none" w:sz="0" w:space="0" w:color="auto"/>
                            <w:left w:val="none" w:sz="0" w:space="0" w:color="auto"/>
                            <w:bottom w:val="none" w:sz="0" w:space="0" w:color="auto"/>
                            <w:right w:val="none" w:sz="0" w:space="0" w:color="auto"/>
                          </w:divBdr>
                          <w:divsChild>
                            <w:div w:id="1261794200">
                              <w:marLeft w:val="0"/>
                              <w:marRight w:val="0"/>
                              <w:marTop w:val="0"/>
                              <w:marBottom w:val="0"/>
                              <w:divBdr>
                                <w:top w:val="none" w:sz="0" w:space="0" w:color="auto"/>
                                <w:left w:val="none" w:sz="0" w:space="0" w:color="auto"/>
                                <w:bottom w:val="none" w:sz="0" w:space="0" w:color="auto"/>
                                <w:right w:val="none" w:sz="0" w:space="0" w:color="auto"/>
                              </w:divBdr>
                              <w:divsChild>
                                <w:div w:id="782649867">
                                  <w:marLeft w:val="0"/>
                                  <w:marRight w:val="0"/>
                                  <w:marTop w:val="0"/>
                                  <w:marBottom w:val="0"/>
                                  <w:divBdr>
                                    <w:top w:val="none" w:sz="0" w:space="0" w:color="auto"/>
                                    <w:left w:val="none" w:sz="0" w:space="0" w:color="auto"/>
                                    <w:bottom w:val="none" w:sz="0" w:space="0" w:color="auto"/>
                                    <w:right w:val="none" w:sz="0" w:space="0" w:color="auto"/>
                                  </w:divBdr>
                                </w:div>
                                <w:div w:id="597449443">
                                  <w:marLeft w:val="0"/>
                                  <w:marRight w:val="0"/>
                                  <w:marTop w:val="0"/>
                                  <w:marBottom w:val="0"/>
                                  <w:divBdr>
                                    <w:top w:val="none" w:sz="0" w:space="0" w:color="auto"/>
                                    <w:left w:val="none" w:sz="0" w:space="0" w:color="auto"/>
                                    <w:bottom w:val="none" w:sz="0" w:space="0" w:color="auto"/>
                                    <w:right w:val="none" w:sz="0" w:space="0" w:color="auto"/>
                                  </w:divBdr>
                                </w:div>
                                <w:div w:id="1777825474">
                                  <w:marLeft w:val="0"/>
                                  <w:marRight w:val="0"/>
                                  <w:marTop w:val="0"/>
                                  <w:marBottom w:val="0"/>
                                  <w:divBdr>
                                    <w:top w:val="none" w:sz="0" w:space="0" w:color="auto"/>
                                    <w:left w:val="none" w:sz="0" w:space="0" w:color="auto"/>
                                    <w:bottom w:val="none" w:sz="0" w:space="0" w:color="auto"/>
                                    <w:right w:val="none" w:sz="0" w:space="0" w:color="auto"/>
                                  </w:divBdr>
                                </w:div>
                                <w:div w:id="47634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Fra12</b:Tag>
    <b:SourceType>JournalArticle</b:SourceType>
    <b:Guid>{A8DDB23A-DB2D-4EE8-8352-99F8A549671A}</b:Guid>
    <b:LCID>2115</b:LCID>
    <b:Author>
      <b:Author>
        <b:NameList>
          <b:Person>
            <b:Last>Frank</b:Last>
            <b:First>M.C.</b:First>
          </b:Person>
          <b:Person>
            <b:Last>Goodman</b:Last>
            <b:First>N.D.</b:First>
          </b:Person>
        </b:NameList>
      </b:Author>
    </b:Author>
    <b:Title>Predicting pragmatic reasoning in language games</b:Title>
    <b:Pages>998</b:Pages>
    <b:Year>2012</b:Year>
    <b:JournalName>Science</b:JournalName>
    <b:Volume>336</b:Volume>
    <b:Issue>6084</b:Issue>
    <b:RefOrder>7</b:RefOrder>
  </b:Source>
  <b:Source>
    <b:Tag>Gri06</b:Tag>
    <b:SourceType>JournalArticle</b:SourceType>
    <b:Guid>{86474CB9-6E68-4EC6-AF15-2B891A3186D3}</b:Guid>
    <b:LCID>2115</b:LCID>
    <b:Author>
      <b:Author>
        <b:NameList>
          <b:Person>
            <b:Last>Griffiths</b:Last>
            <b:First>T.</b:First>
          </b:Person>
          <b:Person>
            <b:Last>Tenenbaum</b:Last>
            <b:First>J.</b:First>
          </b:Person>
        </b:NameList>
      </b:Author>
    </b:Author>
    <b:Title>Optimal prediction in everyday cognition</b:Title>
    <b:JournalName>Psychological Science</b:JournalName>
    <b:Year>2006</b:Year>
    <b:Pages>767-773</b:Pages>
    <b:Volume>17</b:Volume>
    <b:Issue>9</b:Issue>
    <b:RefOrder>13</b:RefOrder>
  </b:Source>
  <b:Source>
    <b:Tag>Bat13</b:Tag>
    <b:SourceType>JournalArticle</b:SourceType>
    <b:Guid>{D7F4ACFF-43CC-4B12-8177-D93DDBED3653}</b:Guid>
    <b:LCID>2115</b:LCID>
    <b:Author>
      <b:Author>
        <b:NameList>
          <b:Person>
            <b:Last>Battaglia</b:Last>
            <b:First>P.</b:First>
          </b:Person>
          <b:Person>
            <b:Last>Hamrick</b:Last>
            <b:First>J.B.</b:First>
          </b:Person>
          <b:Person>
            <b:Last>Tenenbaum</b:Last>
            <b:First>J.</b:First>
          </b:Person>
        </b:NameList>
      </b:Author>
    </b:Author>
    <b:Title>Simulation as an engine of physical scene understanding</b:Title>
    <b:JournalName>Proceedings of the National Academy of Sciences</b:JournalName>
    <b:Year>2013</b:Year>
    <b:Pages>18327-18332</b:Pages>
    <b:Volume>110</b:Volume>
    <b:Issue>45</b:Issue>
    <b:RefOrder>1</b:RefOrder>
  </b:Source>
  <b:Source>
    <b:Tag>XuF07</b:Tag>
    <b:SourceType>JournalArticle</b:SourceType>
    <b:Guid>{5FA73BEB-13B3-41CD-89EA-24264354D798}</b:Guid>
    <b:LCID>2115</b:LCID>
    <b:Author>
      <b:Author>
        <b:NameList>
          <b:Person>
            <b:Last>Xu</b:Last>
            <b:First>F.</b:First>
          </b:Person>
          <b:Person>
            <b:Last>Tenenbaum</b:Last>
            <b:First>J.B.</b:First>
          </b:Person>
        </b:NameList>
      </b:Author>
    </b:Author>
    <b:Title>Word learning as Bayesian inference</b:Title>
    <b:Pages>245-272</b:Pages>
    <b:Year>2007</b:Year>
    <b:JournalName>Psychological Review</b:JournalName>
    <b:Volume>114</b:Volume>
    <b:Issue>2</b:Issue>
    <b:RefOrder>16</b:RefOrder>
  </b:Source>
  <b:Source>
    <b:Tag>Kao14</b:Tag>
    <b:SourceType>JournalArticle</b:SourceType>
    <b:Guid>{BCA0E7F7-6C39-497F-8C84-8BAD2AE94F3E}</b:Guid>
    <b:LCID>2115</b:LCID>
    <b:Author>
      <b:Author>
        <b:NameList>
          <b:Person>
            <b:Last>Kao</b:Last>
            <b:First>J.T.</b:First>
          </b:Person>
          <b:Person>
            <b:Last>Wu</b:Last>
            <b:First>J.Y.</b:First>
          </b:Person>
          <b:Person>
            <b:Last>Bergen</b:Last>
            <b:First>N.</b:First>
          </b:Person>
          <b:Person>
            <b:Last>Goodman</b:Last>
            <b:First>N.</b:First>
          </b:Person>
        </b:NameList>
      </b:Author>
    </b:Author>
    <b:Title>Nonliteral understanding of number words</b:Title>
    <b:JournalName>Proceedings of the National Academy of Sciences</b:JournalName>
    <b:Year>2014</b:Year>
    <b:RefOrder>8</b:RefOrder>
  </b:Source>
  <b:Source>
    <b:Tag>Fra09</b:Tag>
    <b:SourceType>ConferenceProceedings</b:SourceType>
    <b:Guid>{F0B1A89F-B98C-4C74-B78D-F196EE4B71D5}</b:Guid>
    <b:LCID>2115</b:LCID>
    <b:Author>
      <b:Author>
        <b:NameList>
          <b:Person>
            <b:Last>Frank</b:Last>
            <b:First>M.C.</b:First>
          </b:Person>
          <b:Person>
            <b:Last>Goodman</b:Last>
            <b:First>N.D.</b:First>
          </b:Person>
          <b:Person>
            <b:Last>Lai</b:Last>
            <b:First>P.</b:First>
          </b:Person>
          <b:Person>
            <b:Last>Tenenbaum</b:Last>
            <b:First>J.B</b:First>
            <b:Middle>.</b:Middle>
          </b:Person>
        </b:NameList>
      </b:Author>
    </b:Author>
    <b:Title>Informative communication in word production and word learning</b:Title>
    <b:Year>2009</b:Year>
    <b:Pages>206-211</b:Pages>
    <b:ConferenceName>Proceedings of the 31st Annual Conference of the Cognitive Science Society</b:ConferenceName>
    <b:RefOrder>17</b:RefOrder>
  </b:Source>
  <b:Source>
    <b:Tag>Pia11</b:Tag>
    <b:SourceType>JournalArticle</b:SourceType>
    <b:Guid>{4A0F9876-001A-4C35-8F69-7D8A8E2DA79A}</b:Guid>
    <b:LCID>2115</b:LCID>
    <b:Author>
      <b:Author>
        <b:NameList>
          <b:Person>
            <b:Last>Piantadosi</b:Last>
            <b:First>S.T.</b:First>
          </b:Person>
          <b:Person>
            <b:Last>Tiley</b:Last>
            <b:First>H.</b:First>
          </b:Person>
          <b:Person>
            <b:Last>Gibson</b:Last>
            <b:First>E.</b:First>
          </b:Person>
        </b:NameList>
      </b:Author>
    </b:Author>
    <b:Title>Word lengths are optimized for efficient communication</b:Title>
    <b:JournalName>Proceedings of the National Academy of Sciences</b:JournalName>
    <b:Year>2011</b:Year>
    <b:RefOrder>15</b:RefOrder>
  </b:Source>
  <b:Source>
    <b:Tag>Kor07</b:Tag>
    <b:SourceType>JournalArticle</b:SourceType>
    <b:Guid>{A45EDC41-0481-40BC-9250-731C4293A2C8}</b:Guid>
    <b:LCID>2115</b:LCID>
    <b:Author>
      <b:Author>
        <b:NameList>
          <b:Person>
            <b:Last>Kording</b:Last>
            <b:First>K.P.</b:First>
          </b:Person>
          <b:Person>
            <b:Last>Tenenbaum</b:Last>
            <b:First>J.B.</b:First>
          </b:Person>
          <b:Person>
            <b:Last>Shadmehr</b:Last>
            <b:First>R.</b:First>
          </b:Person>
        </b:NameList>
      </b:Author>
    </b:Author>
    <b:Title>The dynamics of memory are a consequence of optimal adaptation to a changing body</b:Title>
    <b:Year>2007</b:Year>
    <b:JournalName>Nature Neuroscience</b:JournalName>
    <b:Pages>779-786</b:Pages>
    <b:Volume>10</b:Volume>
    <b:Issue>6</b:Issue>
    <b:RefOrder>18</b:RefOrder>
  </b:Source>
  <b:Source>
    <b:Tag>Oak09</b:Tag>
    <b:SourceType>JournalArticle</b:SourceType>
    <b:Guid>{F46CF9E9-A13E-4A23-8002-475197A68CEF}</b:Guid>
    <b:LCID>2115</b:LCID>
    <b:Author>
      <b:Author>
        <b:NameList>
          <b:Person>
            <b:Last>Oakford</b:Last>
            <b:First>M.</b:First>
          </b:Person>
          <b:Person>
            <b:Last>Chater</b:Last>
            <b:First>N.</b:First>
          </b:Person>
        </b:NameList>
      </b:Author>
    </b:Author>
    <b:Title>Precis of Bayesian rationality; The probabilistic approach to human reasoning</b:Title>
    <b:JournalName>Behavioral and Brain Sciences</b:JournalName>
    <b:Year>2009</b:Year>
    <b:Pages>69-120</b:Pages>
    <b:Volume>32</b:Volume>
    <b:RefOrder>12</b:RefOrder>
  </b:Source>
  <b:Source>
    <b:Tag>Gwe</b:Tag>
    <b:SourceType>JournalArticle</b:SourceType>
    <b:Guid>{EBA0A8B9-149C-4AD5-8B86-9C02FFEDBA41}</b:Guid>
    <b:LCID>2115</b:LCID>
    <b:Author>
      <b:Author>
        <b:NameList>
          <b:Person>
            <b:Last>Gweon</b:Last>
            <b:First>H.</b:First>
          </b:Person>
          <b:Person>
            <b:Last>Tenenbaum</b:Last>
            <b:First>J.B.</b:First>
          </b:Person>
          <b:Person>
            <b:Last>Schulz</b:Last>
            <b:First>L.</b:First>
          </b:Person>
        </b:NameList>
      </b:Author>
    </b:Author>
    <b:Title>Infants consider both the sample and the sampling process in inductive generalization</b:Title>
    <b:JournalName>Proceedings of the National Academy of Sciences</b:JournalName>
    <b:Year>2010</b:Year>
    <b:Pages>9066-9071</b:Pages>
    <b:Volume>107</b:Volume>
    <b:Issue>20</b:Issue>
    <b:RefOrder>4</b:RefOrder>
  </b:Source>
  <b:Source>
    <b:Tag>Dav14</b:Tag>
    <b:SourceType>DocumentFromInternetSite</b:SourceType>
    <b:Guid>{87F1B290-8DAC-445F-964C-BC1C285946B8}</b:Guid>
    <b:LCID>2115</b:LCID>
    <b:Author>
      <b:Author>
        <b:NameList>
          <b:Person>
            <b:Last>Davis</b:Last>
            <b:First>E.</b:First>
          </b:Person>
          <b:Person>
            <b:Last>Marcus</b:Last>
            <b:First>G.</b:First>
          </b:Person>
        </b:NameList>
      </b:Author>
    </b:Author>
    <b:Title>The Hypothesis Space in Gweon, Tenenbaum, and Schulz (2010)</b:Title>
    <b:Year>2014</b:Year>
    <b:ThesisType>Unpublished</b:ThesisType>
    <b:URL>http://www.cs.nyu.edu/faculty/davise/papers/GTS.html</b:URL>
    <b:Month>April</b:Month>
    <b:Day>22</b:Day>
    <b:RefOrder>9</b:RefOrder>
  </b:Source>
  <b:Source>
    <b:Tag>Kem08</b:Tag>
    <b:SourceType>JournalArticle</b:SourceType>
    <b:Guid>{DB90D10C-F82A-40E2-9392-7CD11A12C8D1}</b:Guid>
    <b:LCID>2115</b:LCID>
    <b:Author>
      <b:Author>
        <b:NameList>
          <b:Person>
            <b:Last>Kemp</b:Last>
            <b:First>C.</b:First>
          </b:Person>
          <b:Person>
            <b:Last>Tenenbaum</b:Last>
            <b:First>J.B.</b:First>
          </b:Person>
        </b:NameList>
      </b:Author>
    </b:Author>
    <b:Title>The discovery of structural form</b:Title>
    <b:Year>2008</b:Year>
    <b:JournalName>Proceedings of the national academy of sciences</b:JournalName>
    <b:Pages>10687-10692</b:Pages>
    <b:Volume>105</b:Volume>
    <b:Issue>31</b:Issue>
    <b:RefOrder>2</b:RefOrder>
  </b:Source>
  <b:Source>
    <b:Tag>End13</b:Tag>
    <b:SourceType>JournalArticle</b:SourceType>
    <b:Guid>{CC30178B-67E2-44BF-849A-DC33794712DC}</b:Guid>
    <b:LCID>2115</b:LCID>
    <b:Author>
      <b:Author>
        <b:NameList>
          <b:Person>
            <b:Last>Endress</b:Last>
            <b:First>A.</b:First>
          </b:Person>
        </b:NameList>
      </b:Author>
    </b:Author>
    <b:Title>Bayesian learning and the psychology of rule induction</b:Title>
    <b:Pages>159-176</b:Pages>
    <b:Year>2013</b:Year>
    <b:JournalName>Cognition</b:JournalName>
    <b:Volume>127</b:Volume>
    <b:RefOrder>19</b:RefOrder>
  </b:Source>
  <b:Source>
    <b:Tag>Fra13</b:Tag>
    <b:SourceType>JournalArticle</b:SourceType>
    <b:Guid>{3AAC0C02-5644-47A8-BE10-99613E95521A}</b:Guid>
    <b:LCID>2115</b:LCID>
    <b:Author>
      <b:Author>
        <b:NameList>
          <b:Person>
            <b:Last>Frank</b:Last>
            <b:First>M.</b:First>
          </b:Person>
        </b:NameList>
      </b:Author>
    </b:Author>
    <b:Title>Throwing out the Bayesian baby with the optimal bathwater: Response to Endress</b:Title>
    <b:JournalName>Cognition</b:JournalName>
    <b:Year>2013</b:Year>
    <b:Pages>417-423</b:Pages>
    <b:Volume>128</b:Volume>
    <b:RefOrder>20</b:RefOrder>
  </b:Source>
  <b:Source>
    <b:Tag>Teg11</b:Tag>
    <b:SourceType>JournalArticle</b:SourceType>
    <b:Guid>{944851C2-95DD-44F5-8E0A-BD310B9DFD9B}</b:Guid>
    <b:LCID>2115</b:LCID>
    <b:Author>
      <b:Author>
        <b:NameList>
          <b:Person>
            <b:Last>Teglas</b:Last>
            <b:First>E.</b:First>
          </b:Person>
          <b:Person>
            <b:Last>Vul</b:Last>
            <b:First>E.l</b:First>
            <b:Middle>Girotto, V.</b:Middle>
          </b:Person>
          <b:Person>
            <b:Last>Gonzalez</b:Last>
            <b:First>M.</b:First>
          </b:Person>
          <b:Person>
            <b:Last>Tenenbaum</b:Last>
            <b:First>J.B.</b:First>
          </b:Person>
          <b:Person>
            <b:Last>Bonatti</b:Last>
            <b:First>L.</b:First>
          </b:Person>
        </b:NameList>
      </b:Author>
    </b:Author>
    <b:Title>Pure Reasoning in 12-Month-Old Infants as Probabilistic Inference</b:Title>
    <b:Year>2011</b:Year>
    <b:Pages>1054-1059</b:Pages>
    <b:JournalName>Science</b:JournalName>
    <b:Volume>332</b:Volume>
    <b:RefOrder>21</b:RefOrder>
  </b:Source>
  <b:Source>
    <b:Tag>Ten01</b:Tag>
    <b:SourceType>ConferenceProceedings</b:SourceType>
    <b:Guid>{1DA55AC4-A835-4AB4-BFA7-895D4FF94057}</b:Guid>
    <b:LCID>2115</b:LCID>
    <b:Author>
      <b:Author>
        <b:NameList>
          <b:Person>
            <b:Last>Tenenbaum</b:Last>
            <b:First>J.B.</b:First>
          </b:Person>
          <b:Person>
            <b:Last>Griffiths</b:Last>
            <b:First>T.</b:First>
          </b:Person>
        </b:NameList>
      </b:Author>
    </b:Author>
    <b:Title>The rational basis of representativeness</b:Title>
    <b:Year>2001</b:Year>
    <b:ConferenceName>Proceedings of the 23rd Annual Meeting of the Cognitive Science Society</b:ConferenceName>
    <b:Pages>1036-1041</b:Pages>
    <b:RefOrder>14</b:RefOrder>
  </b:Source>
  <b:Source>
    <b:Tag>Cai12</b:Tag>
    <b:SourceType>JournalArticle</b:SourceType>
    <b:Guid>{BA33950D-7A09-47D4-92B7-9121C484D021}</b:Guid>
    <b:LCID>2115</b:LCID>
    <b:Author>
      <b:Author>
        <b:NameList>
          <b:Person>
            <b:Last>Cain</b:Last>
            <b:First>M.S.</b:First>
          </b:Person>
          <b:Person>
            <b:Last>Vul</b:Last>
            <b:First>E.l</b:First>
            <b:Middle>Clark, K.</b:Middle>
          </b:Person>
          <b:Person>
            <b:Last>Mitroff</b:Last>
            <b:First>S.R.</b:First>
          </b:Person>
        </b:NameList>
      </b:Author>
    </b:Author>
    <b:Title>A Bayesian Optimal Foraging Model of Human Visual Search</b:Title>
    <b:JournalName>Psychological Science</b:JournalName>
    <b:Year>2012</b:Year>
    <b:Pages>1047-1054</b:Pages>
    <b:Volume>23</b:Volume>
    <b:Issue>9</b:Issue>
    <b:DOI>10.1177/0956797612440460 </b:DOI>
    <b:RefOrder>3</b:RefOrder>
  </b:Source>
  <b:Source>
    <b:Tag>Smi132</b:Tag>
    <b:SourceType>JournalArticle</b:SourceType>
    <b:Guid>{8AD050D6-7F59-4983-B624-C4199A74B923}</b:Guid>
    <b:LCID>2115</b:LCID>
    <b:Author>
      <b:Author>
        <b:NameList>
          <b:Person>
            <b:Last>Smith</b:Last>
            <b:First>K.A.</b:First>
          </b:Person>
          <b:Person>
            <b:Last>Vul</b:Last>
            <b:First>E.</b:First>
          </b:Person>
        </b:NameList>
      </b:Author>
    </b:Author>
    <b:Title>Sources of Uncertainty in Intuitive Physics</b:Title>
    <b:Pages>185-199</b:Pages>
    <b:Year>2013</b:Year>
    <b:JournalName>Topics in Cognitive Science</b:JournalName>
    <b:Volume>5</b:Volume>
    <b:RefOrder>5</b:RefOrder>
  </b:Source>
  <b:Source>
    <b:Tag>Smi131</b:Tag>
    <b:SourceType>ConferenceProceedings</b:SourceType>
    <b:Guid>{75A0D50E-31DF-4BF2-BC6D-0CB4EF839049}</b:Guid>
    <b:LCID>2115</b:LCID>
    <b:Author>
      <b:Author>
        <b:NameList>
          <b:Person>
            <b:Last>Smith</b:Last>
            <b:First>K.</b:First>
          </b:Person>
          <b:Person>
            <b:Last>Dechter</b:Last>
            <b:First>E.</b:First>
          </b:Person>
          <b:Person>
            <b:Last>Tenenbaum</b:Last>
            <b:First>J.B.</b:First>
          </b:Person>
          <b:Person>
            <b:Last>Vul</b:Last>
            <b:First>E.</b:First>
          </b:Person>
        </b:NameList>
      </b:Author>
    </b:Author>
    <b:Title>Physical predictions over time</b:Title>
    <b:Year>2013</b:Year>
    <b:ConferenceName>Proceedings of the 35th Annual Meeting of the Cognitive Science Society</b:ConferenceName>
    <b:RefOrder>6</b:RefOrder>
  </b:Source>
  <b:Source>
    <b:Tag>Rip13</b:Tag>
    <b:SourceType>JournalArticle</b:SourceType>
    <b:Guid>{AB33C1C2-3350-4F5A-BB68-8788D2A35B69}</b:Guid>
    <b:LCID>0</b:LCID>
    <b:Author>
      <b:Author>
        <b:NameList>
          <b:Person>
            <b:Last>Rips</b:Last>
            <b:First>L.</b:First>
          </b:Person>
          <b:Person>
            <b:Last>Asmuth</b:Last>
            <b:First>J.</b:First>
          </b:Person>
          <b:Person>
            <b:Last>Bloomfield</b:Last>
            <b:First>A.</b:First>
          </b:Person>
        </b:NameList>
      </b:Author>
    </b:Author>
    <b:Title>Can statistical learning bootstrap the integers?</b:Title>
    <b:JournalName>Cognition</b:JournalName>
    <b:Year>2013</b:Year>
    <b:Pages>320-330</b:Pages>
    <b:Volume>128</b:Volume>
    <b:RefOrder>10</b:RefOrder>
  </b:Source>
  <b:Source>
    <b:Tag>Pia12</b:Tag>
    <b:SourceType>JournalArticle</b:SourceType>
    <b:Guid>{8C9BC7F3-5B77-42EB-97A5-A920D1C74BD4}</b:Guid>
    <b:LCID>0</b:LCID>
    <b:Author>
      <b:Author>
        <b:NameList>
          <b:Person>
            <b:Last>Piantadosi</b:Last>
            <b:First>S.T.</b:First>
          </b:Person>
          <b:Person>
            <b:Last>Tenenbaum</b:Last>
            <b:First>J.B.</b:First>
          </b:Person>
          <b:Person>
            <b:Last>Goodman</b:Last>
            <b:First>N.</b:First>
          </b:Person>
        </b:NameList>
      </b:Author>
    </b:Author>
    <b:Title>Bootstrapping in a language of thought: A formal model of numerical concept learning</b:Title>
    <b:JournalName>Cognition</b:JournalName>
    <b:Year>2012</b:Year>
    <b:Pages>197-217</b:Pages>
    <b:Volume>123</b:Volume>
    <b:RefOrder>11</b:RefOrder>
  </b:Source>
</b:Sources>
</file>

<file path=customXml/itemProps1.xml><?xml version="1.0" encoding="utf-8"?>
<ds:datastoreItem xmlns:ds="http://schemas.openxmlformats.org/officeDocument/2006/customXml" ds:itemID="{BE977F30-9263-4D77-920B-F5E01198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1547</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Ernie</dc:creator>
  <cp:lastModifiedBy>davise</cp:lastModifiedBy>
  <cp:revision>13</cp:revision>
  <cp:lastPrinted>2015-01-15T16:40:00Z</cp:lastPrinted>
  <dcterms:created xsi:type="dcterms:W3CDTF">2014-12-10T01:17:00Z</dcterms:created>
  <dcterms:modified xsi:type="dcterms:W3CDTF">2015-04-21T14:18:00Z</dcterms:modified>
</cp:coreProperties>
</file>